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73C9E" w14:textId="15D7E0CB" w:rsidR="00E83884" w:rsidRPr="008176E6" w:rsidRDefault="001848A8" w:rsidP="00C959D4">
      <w:pPr>
        <w:pStyle w:val="Heading1"/>
      </w:pPr>
      <w:r w:rsidRPr="008176E6">
        <w:t>Publishable Summary</w:t>
      </w:r>
      <w:r w:rsidR="00B72E59" w:rsidRPr="008176E6">
        <w:rPr>
          <w:szCs w:val="28"/>
        </w:rPr>
        <w:t xml:space="preserve"> for </w:t>
      </w:r>
      <w:r w:rsidR="0029786B">
        <w:rPr>
          <w:szCs w:val="28"/>
        </w:rPr>
        <w:t>19ENG01</w:t>
      </w:r>
      <w:r w:rsidR="003C65C8" w:rsidRPr="008176E6">
        <w:rPr>
          <w:szCs w:val="28"/>
        </w:rPr>
        <w:t xml:space="preserve"> </w:t>
      </w:r>
      <w:r w:rsidR="0029786B">
        <w:rPr>
          <w:szCs w:val="28"/>
        </w:rPr>
        <w:t>Metro-PV</w:t>
      </w:r>
    </w:p>
    <w:p w14:paraId="09673C9F" w14:textId="05FF2D7B" w:rsidR="00E83884" w:rsidRPr="008176E6" w:rsidRDefault="005D42F9" w:rsidP="00F33779">
      <w:pPr>
        <w:jc w:val="center"/>
        <w:rPr>
          <w:rFonts w:ascii="Arial" w:eastAsia="SimSun" w:hAnsi="Arial" w:cs="Arial"/>
          <w:b/>
          <w:bCs/>
          <w:sz w:val="28"/>
          <w:lang w:val="en-GB" w:eastAsia="zh-CN"/>
        </w:rPr>
      </w:pPr>
      <w:r w:rsidRPr="005D42F9">
        <w:rPr>
          <w:rFonts w:ascii="Arial" w:eastAsia="SimSun" w:hAnsi="Arial" w:cs="Arial"/>
          <w:b/>
          <w:bCs/>
          <w:sz w:val="28"/>
          <w:lang w:val="en-GB" w:eastAsia="zh-CN"/>
        </w:rPr>
        <w:t>Metrology for emerging PV applications</w:t>
      </w:r>
      <w:r w:rsidRPr="005D42F9" w:rsidDel="005D42F9">
        <w:rPr>
          <w:rFonts w:ascii="Arial" w:eastAsia="SimSun" w:hAnsi="Arial" w:cs="Arial"/>
          <w:b/>
          <w:bCs/>
          <w:sz w:val="28"/>
          <w:lang w:val="en-GB" w:eastAsia="zh-CN"/>
        </w:rPr>
        <w:t xml:space="preserve"> </w:t>
      </w:r>
    </w:p>
    <w:p w14:paraId="09673CA0" w14:textId="77777777" w:rsidR="00A53E6C" w:rsidRDefault="00A53E6C" w:rsidP="00287F50">
      <w:pPr>
        <w:jc w:val="both"/>
        <w:rPr>
          <w:rFonts w:ascii="Arial" w:hAnsi="Arial" w:cs="Arial"/>
          <w:lang w:val="en-GB" w:eastAsia="en-GB"/>
        </w:rPr>
      </w:pPr>
    </w:p>
    <w:p w14:paraId="30F4E924" w14:textId="77777777" w:rsidR="0028207D" w:rsidRDefault="0028207D" w:rsidP="00F33779">
      <w:pPr>
        <w:pStyle w:val="Header"/>
        <w:tabs>
          <w:tab w:val="clear" w:pos="4536"/>
          <w:tab w:val="clear" w:pos="9072"/>
        </w:tabs>
        <w:rPr>
          <w:rFonts w:ascii="Arial" w:hAnsi="Arial"/>
          <w:b/>
          <w:lang w:val="en-GB"/>
        </w:rPr>
      </w:pPr>
    </w:p>
    <w:p w14:paraId="09673CA9" w14:textId="77777777" w:rsidR="00711110" w:rsidRPr="008176E6" w:rsidRDefault="00711110" w:rsidP="00E57C7B">
      <w:pPr>
        <w:pStyle w:val="Header"/>
        <w:tabs>
          <w:tab w:val="clear" w:pos="4536"/>
          <w:tab w:val="clear" w:pos="9072"/>
        </w:tabs>
        <w:spacing w:before="120" w:after="120"/>
        <w:jc w:val="both"/>
        <w:rPr>
          <w:rFonts w:ascii="Arial" w:hAnsi="Arial"/>
          <w:b/>
          <w:lang w:val="en-GB"/>
        </w:rPr>
      </w:pPr>
      <w:r w:rsidRPr="008176E6">
        <w:rPr>
          <w:rFonts w:ascii="Arial" w:hAnsi="Arial"/>
          <w:b/>
          <w:lang w:val="en-GB"/>
        </w:rPr>
        <w:t>Overview</w:t>
      </w:r>
    </w:p>
    <w:p w14:paraId="544D253A" w14:textId="36673695" w:rsidR="0064427E" w:rsidRPr="006E182D" w:rsidRDefault="0064427E" w:rsidP="00E57C7B">
      <w:pPr>
        <w:pStyle w:val="Header"/>
        <w:spacing w:before="120" w:after="120"/>
        <w:jc w:val="both"/>
        <w:rPr>
          <w:rFonts w:ascii="Arial" w:hAnsi="Arial"/>
          <w:lang w:val="en-GB"/>
        </w:rPr>
      </w:pPr>
      <w:r w:rsidRPr="006E182D">
        <w:rPr>
          <w:rFonts w:ascii="Arial" w:hAnsi="Arial"/>
          <w:lang w:val="en-GB"/>
        </w:rPr>
        <w:t>The aim of this project is to provide the necessary metrological infrastructure, techniques and guidance to accelerate time-to-market for emerging photovoltaic (PV) technologies, which have the potential to significantly reduce the cost of photovoltaic energy, the most important future energy source.</w:t>
      </w:r>
    </w:p>
    <w:p w14:paraId="5DAAB44D" w14:textId="66EE71E7" w:rsidR="00C959D4" w:rsidRPr="006E182D" w:rsidRDefault="0064427E" w:rsidP="00E57C7B">
      <w:pPr>
        <w:pStyle w:val="Header"/>
        <w:tabs>
          <w:tab w:val="clear" w:pos="4536"/>
          <w:tab w:val="clear" w:pos="9072"/>
          <w:tab w:val="left" w:pos="933"/>
        </w:tabs>
        <w:spacing w:before="120" w:after="120"/>
        <w:jc w:val="both"/>
        <w:rPr>
          <w:rFonts w:ascii="Arial" w:hAnsi="Arial"/>
          <w:b/>
          <w:lang w:val="en-GB"/>
        </w:rPr>
      </w:pPr>
      <w:r w:rsidRPr="006E182D">
        <w:rPr>
          <w:rFonts w:ascii="Arial" w:hAnsi="Arial"/>
          <w:lang w:val="en-GB"/>
        </w:rPr>
        <w:t>The next generation of solar devices with higher conversion efficiencies, compared to conventional single junction silicon solar cells, will be based on emerging PV technologies (e.g. perovskite-on-silicon tandem). In the field of Industry 4.0 applications the use of indoor-PV is gaining momentum. However, there is still a lack of measurement capabilities that realise performance measurements with low uncertainties for emerging PV applications. This project will reduce the reference solar cell calibration uncertainty that successively affects all subsequent calibrations and performance measurements in the traceability chain. In addition, international standards will be developed, including measurement procedures for emerging PV technologies. The uncertainty of the PV calibration chain will be reduced and thereby, in a wider perspective, the financial uncertainty of investments.</w:t>
      </w:r>
    </w:p>
    <w:p w14:paraId="09673CAD" w14:textId="77777777" w:rsidR="005945D8" w:rsidRPr="008176E6" w:rsidRDefault="00F35B0B" w:rsidP="00E57C7B">
      <w:pPr>
        <w:pStyle w:val="Header"/>
        <w:tabs>
          <w:tab w:val="clear" w:pos="4536"/>
          <w:tab w:val="clear" w:pos="9072"/>
        </w:tabs>
        <w:spacing w:before="120" w:after="120"/>
        <w:jc w:val="both"/>
        <w:rPr>
          <w:rFonts w:ascii="Arial" w:hAnsi="Arial"/>
          <w:b/>
          <w:lang w:val="en-GB"/>
        </w:rPr>
      </w:pPr>
      <w:r w:rsidRPr="008176E6">
        <w:rPr>
          <w:rFonts w:ascii="Arial" w:hAnsi="Arial"/>
          <w:b/>
          <w:lang w:val="en-GB"/>
        </w:rPr>
        <w:t>Need</w:t>
      </w:r>
    </w:p>
    <w:p w14:paraId="53C25C35" w14:textId="77777777" w:rsidR="00A30D46" w:rsidRPr="006E182D" w:rsidRDefault="00A30D46" w:rsidP="00E57C7B">
      <w:pPr>
        <w:pStyle w:val="Header"/>
        <w:spacing w:before="120" w:after="120"/>
        <w:jc w:val="both"/>
        <w:rPr>
          <w:rFonts w:ascii="Arial" w:hAnsi="Arial"/>
          <w:lang w:val="en-GB"/>
        </w:rPr>
      </w:pPr>
      <w:r w:rsidRPr="006E182D">
        <w:rPr>
          <w:rFonts w:ascii="Arial" w:hAnsi="Arial"/>
          <w:lang w:val="en-GB"/>
        </w:rPr>
        <w:t>According to current forecasts, the largest share of the entire future energy supply including electricity, heat, mobility and industrial processes will be based on solar power. The enormous investments required for this transition need to be metrologically underpinned by a corresponding expansion of the quality infrastructure (addressed by objective 1).</w:t>
      </w:r>
    </w:p>
    <w:p w14:paraId="62582DBA" w14:textId="77777777" w:rsidR="00A30D46" w:rsidRPr="006E182D" w:rsidRDefault="00A30D46" w:rsidP="00E57C7B">
      <w:pPr>
        <w:pStyle w:val="Header"/>
        <w:spacing w:before="120" w:after="120"/>
        <w:jc w:val="both"/>
        <w:rPr>
          <w:rFonts w:ascii="Arial" w:hAnsi="Arial"/>
          <w:lang w:val="en-GB"/>
        </w:rPr>
      </w:pPr>
      <w:r w:rsidRPr="006E182D">
        <w:rPr>
          <w:rFonts w:ascii="Arial" w:hAnsi="Arial"/>
          <w:lang w:val="en-GB"/>
        </w:rPr>
        <w:t>Perovskite-based cells have emerged as one efficient and low-cost option, which European organisations are seeking to rapidly scale-up and commercialise in applications such as PV integrated into buildings and vehicles and indoor energy-harvesting (addressed by objectives 1 and 4).</w:t>
      </w:r>
    </w:p>
    <w:p w14:paraId="6BDF158E" w14:textId="77777777" w:rsidR="00A30D46" w:rsidRPr="006E182D" w:rsidRDefault="00A30D46" w:rsidP="00E57C7B">
      <w:pPr>
        <w:pStyle w:val="Header"/>
        <w:spacing w:before="120" w:after="120"/>
        <w:jc w:val="both"/>
        <w:rPr>
          <w:rFonts w:ascii="Arial" w:hAnsi="Arial"/>
          <w:lang w:val="en-GB"/>
        </w:rPr>
      </w:pPr>
      <w:r w:rsidRPr="006E182D">
        <w:rPr>
          <w:rFonts w:ascii="Arial" w:hAnsi="Arial"/>
          <w:lang w:val="en-GB"/>
        </w:rPr>
        <w:t>This project will improve the European metrology for emerging PV technologies such as perovskite-on-silicon tandem devices and indoor-PV devices to support this huge challenge (addressed by objectives 1 and 4).</w:t>
      </w:r>
    </w:p>
    <w:p w14:paraId="78D3C5C9" w14:textId="6494AABE" w:rsidR="00C959D4" w:rsidRPr="006E182D" w:rsidRDefault="00A30D46" w:rsidP="00E57C7B">
      <w:pPr>
        <w:pStyle w:val="Header"/>
        <w:tabs>
          <w:tab w:val="clear" w:pos="4536"/>
          <w:tab w:val="clear" w:pos="9072"/>
        </w:tabs>
        <w:spacing w:before="120" w:after="120"/>
        <w:jc w:val="both"/>
        <w:rPr>
          <w:rFonts w:ascii="Arial" w:hAnsi="Arial"/>
          <w:b/>
          <w:lang w:val="en-GB"/>
        </w:rPr>
      </w:pPr>
      <w:r w:rsidRPr="006E182D">
        <w:rPr>
          <w:rFonts w:ascii="Arial" w:hAnsi="Arial"/>
          <w:lang w:val="en-GB"/>
        </w:rPr>
        <w:t xml:space="preserve">The photovoltaic world market is worth about 100 billion Euros per year. New systems attract investment based on the estimated energy yield, which depends critically on the power rating under different conditions. Thus, every percent of measurement uncertainty leads to a financial uncertainty of 1 billion Euros. Studies predict a further increase in the market share of emerging PV that is required to preserve the high growth rates of PV. Therefore, lower measurement uncertainties as well as realistic standards are needed to reduce the financial uncertainty (addressed by objectives 1, 2 and 3). </w:t>
      </w:r>
    </w:p>
    <w:p w14:paraId="09673CB1" w14:textId="77777777" w:rsidR="00440069" w:rsidRPr="008176E6" w:rsidRDefault="00440069" w:rsidP="00E57C7B">
      <w:pPr>
        <w:pStyle w:val="Header"/>
        <w:tabs>
          <w:tab w:val="clear" w:pos="4536"/>
          <w:tab w:val="clear" w:pos="9072"/>
        </w:tabs>
        <w:spacing w:before="120" w:after="120"/>
        <w:jc w:val="both"/>
        <w:rPr>
          <w:rFonts w:ascii="Arial" w:hAnsi="Arial"/>
          <w:b/>
          <w:lang w:val="en-GB"/>
        </w:rPr>
      </w:pPr>
      <w:r w:rsidRPr="008176E6">
        <w:rPr>
          <w:rFonts w:ascii="Arial" w:hAnsi="Arial"/>
          <w:b/>
          <w:lang w:val="en-GB"/>
        </w:rPr>
        <w:t>Objectives</w:t>
      </w:r>
    </w:p>
    <w:p w14:paraId="27EE973D" w14:textId="77777777" w:rsidR="00E63F3E" w:rsidRPr="006E182D" w:rsidRDefault="00E63F3E" w:rsidP="00E57C7B">
      <w:pPr>
        <w:pStyle w:val="Header"/>
        <w:spacing w:before="120" w:after="120"/>
        <w:jc w:val="both"/>
        <w:rPr>
          <w:rFonts w:ascii="Arial" w:hAnsi="Arial"/>
          <w:lang w:val="en-GB"/>
        </w:rPr>
      </w:pPr>
      <w:r w:rsidRPr="006E182D">
        <w:rPr>
          <w:rFonts w:ascii="Arial" w:hAnsi="Arial"/>
          <w:lang w:val="en-GB"/>
        </w:rPr>
        <w:t xml:space="preserve">The project focuses on the traceable measurement and characterisation of emerging PV applications. </w:t>
      </w:r>
    </w:p>
    <w:p w14:paraId="072CC67F" w14:textId="77777777" w:rsidR="00E63F3E" w:rsidRPr="006E182D" w:rsidRDefault="00E63F3E" w:rsidP="00E57C7B">
      <w:pPr>
        <w:pStyle w:val="Header"/>
        <w:spacing w:before="120" w:after="120"/>
        <w:jc w:val="both"/>
        <w:rPr>
          <w:rFonts w:ascii="Arial" w:hAnsi="Arial"/>
          <w:lang w:val="en-GB"/>
        </w:rPr>
      </w:pPr>
      <w:r w:rsidRPr="006E182D">
        <w:rPr>
          <w:rFonts w:ascii="Arial" w:hAnsi="Arial"/>
          <w:lang w:val="en-GB"/>
        </w:rPr>
        <w:t xml:space="preserve">The specific objectives are: </w:t>
      </w:r>
    </w:p>
    <w:p w14:paraId="5B752266" w14:textId="289BA206" w:rsidR="00E63F3E" w:rsidRPr="006E182D" w:rsidRDefault="00E63F3E" w:rsidP="00E57C7B">
      <w:pPr>
        <w:pStyle w:val="Header"/>
        <w:numPr>
          <w:ilvl w:val="0"/>
          <w:numId w:val="13"/>
        </w:numPr>
        <w:spacing w:before="120" w:after="120"/>
        <w:jc w:val="both"/>
        <w:rPr>
          <w:rFonts w:ascii="Arial" w:hAnsi="Arial"/>
          <w:lang w:val="en-GB"/>
        </w:rPr>
      </w:pPr>
      <w:r w:rsidRPr="006E182D">
        <w:rPr>
          <w:rFonts w:ascii="Arial" w:hAnsi="Arial"/>
          <w:lang w:val="en-GB"/>
        </w:rPr>
        <w:t xml:space="preserve">To validate the suitability and reduce the uncertainty, associated with measuring the nominal power of PV devices, within the calibration chain according to the IEC 60904 standard series. This should include multi-junction PV devices and devices constructed from perovskite materials. </w:t>
      </w:r>
    </w:p>
    <w:p w14:paraId="1A2BC60D" w14:textId="77777777" w:rsidR="00A425A3" w:rsidRPr="006E182D" w:rsidRDefault="00E63F3E" w:rsidP="00E57C7B">
      <w:pPr>
        <w:pStyle w:val="Header"/>
        <w:numPr>
          <w:ilvl w:val="0"/>
          <w:numId w:val="13"/>
        </w:numPr>
        <w:spacing w:before="120" w:after="120"/>
        <w:jc w:val="both"/>
        <w:rPr>
          <w:rFonts w:ascii="Arial" w:hAnsi="Arial"/>
          <w:lang w:val="en-GB"/>
        </w:rPr>
      </w:pPr>
      <w:r w:rsidRPr="006E182D">
        <w:rPr>
          <w:rFonts w:ascii="Arial" w:hAnsi="Arial"/>
          <w:lang w:val="en-GB"/>
        </w:rPr>
        <w:t xml:space="preserve">To determine the uncertainty sources related to the output power of PV modules. This should include development of models to quantify the uncertainty sources that are associated with measurement of </w:t>
      </w:r>
      <w:r w:rsidRPr="006E182D">
        <w:rPr>
          <w:rFonts w:ascii="Arial" w:hAnsi="Arial"/>
          <w:lang w:val="en-GB"/>
        </w:rPr>
        <w:lastRenderedPageBreak/>
        <w:t xml:space="preserve">the I-V curve in accordance with IEC 60904-1 and spectral irradiance and spectral response of PV devices in accordance with IEC 60904-8. </w:t>
      </w:r>
    </w:p>
    <w:p w14:paraId="104CF67C" w14:textId="77777777" w:rsidR="00A425A3" w:rsidRPr="006E182D" w:rsidRDefault="00E63F3E" w:rsidP="00E57C7B">
      <w:pPr>
        <w:pStyle w:val="Header"/>
        <w:numPr>
          <w:ilvl w:val="0"/>
          <w:numId w:val="13"/>
        </w:numPr>
        <w:spacing w:before="120" w:after="120"/>
        <w:jc w:val="both"/>
        <w:rPr>
          <w:rFonts w:ascii="Arial" w:hAnsi="Arial"/>
          <w:lang w:val="en-GB"/>
        </w:rPr>
      </w:pPr>
      <w:r w:rsidRPr="006E182D">
        <w:rPr>
          <w:rFonts w:ascii="Arial" w:hAnsi="Arial"/>
          <w:lang w:val="en-GB"/>
        </w:rPr>
        <w:tab/>
        <w:t xml:space="preserve">To define a quality metric for the behaviour of PV modules in shady locations such as urban areas in order to quantify the benefits of shade-tolerant module designs. </w:t>
      </w:r>
    </w:p>
    <w:p w14:paraId="63538718" w14:textId="77777777" w:rsidR="00A425A3" w:rsidRPr="006E182D" w:rsidRDefault="00E63F3E" w:rsidP="00E57C7B">
      <w:pPr>
        <w:pStyle w:val="Header"/>
        <w:numPr>
          <w:ilvl w:val="0"/>
          <w:numId w:val="13"/>
        </w:numPr>
        <w:spacing w:before="120" w:after="120"/>
        <w:jc w:val="both"/>
        <w:rPr>
          <w:rFonts w:ascii="Arial" w:hAnsi="Arial"/>
          <w:lang w:val="en-GB"/>
        </w:rPr>
      </w:pPr>
      <w:r w:rsidRPr="006E182D">
        <w:rPr>
          <w:rFonts w:ascii="Arial" w:hAnsi="Arial"/>
          <w:lang w:val="en-GB"/>
        </w:rPr>
        <w:t xml:space="preserve">To prepare a classification of PV-based energy-harvesting devices for the Internet of Things (IoT) applications, by developing and validating traceable methods for evaluating their performance in low light (indoor) conditions and their sensitivity to influencing factors e.g. the pulse-width modulation of modern efficient light sources. </w:t>
      </w:r>
    </w:p>
    <w:p w14:paraId="6F57ABB9" w14:textId="2BA0F2E6" w:rsidR="00C959D4" w:rsidRPr="00E57C7B" w:rsidRDefault="00E63F3E" w:rsidP="00E57C7B">
      <w:pPr>
        <w:pStyle w:val="Header"/>
        <w:numPr>
          <w:ilvl w:val="0"/>
          <w:numId w:val="13"/>
        </w:numPr>
        <w:spacing w:before="120" w:after="120"/>
        <w:jc w:val="both"/>
        <w:rPr>
          <w:rFonts w:ascii="Arial" w:hAnsi="Arial"/>
          <w:lang w:val="en-GB"/>
        </w:rPr>
      </w:pPr>
      <w:r w:rsidRPr="006E182D">
        <w:rPr>
          <w:rFonts w:ascii="Arial" w:hAnsi="Arial"/>
          <w:lang w:val="en-GB"/>
        </w:rPr>
        <w:t>To facilitate the take up of the technology and measurement infrastructure developed in the project by the measurement supply chain (accredited laboratories, instrumentation manufacturers), standards developing organisations (IEC, especially IEC TC82 and IEC TC113) and end users (e.g. photovoltaics industry). In addition, to contribute to revision of the IEC 60904 standard series.</w:t>
      </w:r>
    </w:p>
    <w:p w14:paraId="7867B2B2" w14:textId="3E8C6946" w:rsidR="008358B5" w:rsidRDefault="008358B5" w:rsidP="00E57C7B">
      <w:pPr>
        <w:pStyle w:val="Header"/>
        <w:tabs>
          <w:tab w:val="clear" w:pos="4536"/>
          <w:tab w:val="clear" w:pos="9072"/>
        </w:tabs>
        <w:spacing w:before="120" w:after="120"/>
        <w:jc w:val="both"/>
        <w:rPr>
          <w:rFonts w:ascii="Arial" w:hAnsi="Arial"/>
          <w:b/>
          <w:lang w:val="en-GB"/>
        </w:rPr>
      </w:pPr>
      <w:r>
        <w:rPr>
          <w:rFonts w:ascii="Arial" w:hAnsi="Arial"/>
          <w:b/>
          <w:lang w:val="en-GB"/>
        </w:rPr>
        <w:t>Progress beyond the state of the art and results</w:t>
      </w:r>
    </w:p>
    <w:p w14:paraId="4497F756" w14:textId="77777777" w:rsidR="006E182D" w:rsidRPr="00762BAC" w:rsidRDefault="006E182D" w:rsidP="00E57C7B">
      <w:pPr>
        <w:pStyle w:val="EMPIRbodytext"/>
        <w:spacing w:after="120"/>
        <w:rPr>
          <w:rFonts w:cs="Arial"/>
          <w:lang w:eastAsia="en-US"/>
        </w:rPr>
      </w:pPr>
      <w:r w:rsidRPr="00762BAC">
        <w:rPr>
          <w:rFonts w:cs="Arial"/>
          <w:lang w:eastAsia="en-US"/>
        </w:rPr>
        <w:t>This project will improve the accuracy of the measurements needed for the calibration of reference solar cells, by using the limitations of existing standards as a starting point in order to further reduce the lowest uncertainty in the world. Also, procedures for the evaluation of uncertainties will be established, i.e. brought to standardisation bodies.</w:t>
      </w:r>
      <w:r>
        <w:rPr>
          <w:rFonts w:cs="Arial"/>
          <w:lang w:eastAsia="en-US"/>
        </w:rPr>
        <w:t xml:space="preserve"> </w:t>
      </w:r>
      <w:r w:rsidRPr="00762BAC">
        <w:rPr>
          <w:rFonts w:cs="Arial"/>
          <w:lang w:eastAsia="en-US"/>
        </w:rPr>
        <w:t>Furthermore, a metric will be developed to rate the shading sensitivity of PV modules. To improve the use of indoor-PV for the energy supply of IoT devices, the results of this project will contribute to international standardisation. As standardisation has thus far focused on outdoor applications, the development of new calibration facilities for indoor-PV with irradiance levels 100 to 1000 times lower than under standard outdoor conditions goes beyond the state of the art.</w:t>
      </w:r>
    </w:p>
    <w:p w14:paraId="14F871DD" w14:textId="77777777" w:rsidR="006E182D" w:rsidRPr="00762BAC" w:rsidRDefault="006E182D" w:rsidP="00E57C7B">
      <w:pPr>
        <w:pStyle w:val="EMPIRbodytext"/>
        <w:spacing w:after="120"/>
        <w:rPr>
          <w:rFonts w:cs="Arial"/>
          <w:i/>
          <w:iCs/>
        </w:rPr>
      </w:pPr>
      <w:r w:rsidRPr="00762BAC">
        <w:rPr>
          <w:rFonts w:cs="Arial"/>
          <w:i/>
          <w:iCs/>
        </w:rPr>
        <w:t>Validation of suitable reference devices and measurement procedures</w:t>
      </w:r>
    </w:p>
    <w:p w14:paraId="1A34FA0A" w14:textId="77777777" w:rsidR="006E182D" w:rsidRPr="00762BAC" w:rsidRDefault="006E182D" w:rsidP="00E57C7B">
      <w:pPr>
        <w:pStyle w:val="EMPIRbodytext"/>
        <w:spacing w:after="120"/>
        <w:rPr>
          <w:rFonts w:cs="Arial"/>
          <w:lang w:eastAsia="en-US"/>
        </w:rPr>
      </w:pPr>
      <w:r w:rsidRPr="00762BAC">
        <w:rPr>
          <w:rFonts w:cs="Arial"/>
          <w:lang w:eastAsia="en-US"/>
        </w:rPr>
        <w:t xml:space="preserve">The most accurate primary calibrations of WPVS type reference solar cells are performed by PTB. The “world record” lowest uncertainty is 0.4 %, using PTB’s Laser-DSR facility. As these calibrated solar cells act as references and thus as the starting point of the traceability chain for the performance rating of the solar cells and solar modules manufactured by industry, a reduction of this important quantity is crucial. </w:t>
      </w:r>
    </w:p>
    <w:p w14:paraId="7D69016F" w14:textId="77777777" w:rsidR="006E182D" w:rsidRPr="00762BAC" w:rsidRDefault="006E182D" w:rsidP="00E57C7B">
      <w:pPr>
        <w:pStyle w:val="EMPIRbodytext"/>
        <w:spacing w:after="120"/>
        <w:rPr>
          <w:rFonts w:cs="Arial"/>
          <w:lang w:eastAsia="en-US"/>
        </w:rPr>
      </w:pPr>
      <w:r w:rsidRPr="00762BAC">
        <w:rPr>
          <w:rFonts w:cs="Arial"/>
          <w:lang w:eastAsia="en-US"/>
        </w:rPr>
        <w:t xml:space="preserve">This project aims to reduce the expanded uncertainty to a value down to 0.35 %, or even below, to successively </w:t>
      </w:r>
      <w:r>
        <w:rPr>
          <w:rFonts w:cs="Arial"/>
          <w:lang w:eastAsia="en-US"/>
        </w:rPr>
        <w:t>a</w:t>
      </w:r>
      <w:r w:rsidRPr="00762BAC">
        <w:rPr>
          <w:rFonts w:cs="Arial"/>
          <w:lang w:eastAsia="en-US"/>
        </w:rPr>
        <w:t xml:space="preserve">ffect all following calibrations and performance measurements in the traceability chain. In addition, there is a rising demand for calibrations of emerging PV devices </w:t>
      </w:r>
      <w:r w:rsidRPr="00762BAC">
        <w:rPr>
          <w:rFonts w:cs="Arial"/>
        </w:rPr>
        <w:t>(e.g. for perovskite solar cells)</w:t>
      </w:r>
      <w:r w:rsidRPr="00762BAC">
        <w:rPr>
          <w:rFonts w:cs="Arial"/>
          <w:lang w:eastAsia="en-US"/>
        </w:rPr>
        <w:t>. Due to their properties (e.g. response time) it is challenging to measure and calibrate these devices with low uncertainties. The uncertainties will be reduced from 3 % to 2 %. The activities within this project will also allow a reduction of the lowest available uncertainty of emerging PV devices.</w:t>
      </w:r>
    </w:p>
    <w:p w14:paraId="4068FB2E" w14:textId="77777777" w:rsidR="006E182D" w:rsidRPr="00762BAC" w:rsidRDefault="006E182D" w:rsidP="00E57C7B">
      <w:pPr>
        <w:pStyle w:val="EMPIRbodytext"/>
        <w:spacing w:after="120"/>
        <w:rPr>
          <w:rFonts w:cs="Arial"/>
          <w:i/>
          <w:iCs/>
        </w:rPr>
      </w:pPr>
      <w:r w:rsidRPr="00762BAC">
        <w:rPr>
          <w:rFonts w:cs="Arial"/>
          <w:i/>
          <w:iCs/>
        </w:rPr>
        <w:t>Evaluation of uncertainty sources related to the output power and energy of PV modules</w:t>
      </w:r>
    </w:p>
    <w:p w14:paraId="1678F74B" w14:textId="77777777" w:rsidR="006E182D" w:rsidRPr="00762BAC" w:rsidRDefault="006E182D" w:rsidP="00E57C7B">
      <w:pPr>
        <w:pStyle w:val="EMPIRbodytext"/>
        <w:spacing w:after="120"/>
        <w:rPr>
          <w:rFonts w:cs="Arial"/>
          <w:lang w:eastAsia="en-US"/>
        </w:rPr>
      </w:pPr>
      <w:r w:rsidRPr="00762BAC">
        <w:rPr>
          <w:rFonts w:cs="Arial"/>
          <w:lang w:eastAsia="en-US"/>
        </w:rPr>
        <w:t>The standards concerning measurement issues (the IEC 60904 standard series) describe procedures for the determination of</w:t>
      </w:r>
      <w:r w:rsidRPr="00762BAC" w:rsidDel="00980A6F">
        <w:rPr>
          <w:rFonts w:cs="Arial"/>
          <w:lang w:eastAsia="en-US"/>
        </w:rPr>
        <w:t xml:space="preserve"> </w:t>
      </w:r>
      <w:r w:rsidRPr="00762BAC">
        <w:rPr>
          <w:rFonts w:cs="Arial"/>
          <w:i/>
          <w:lang w:eastAsia="en-US"/>
        </w:rPr>
        <w:t>I-V</w:t>
      </w:r>
      <w:r w:rsidRPr="00762BAC">
        <w:rPr>
          <w:rFonts w:cs="Arial"/>
          <w:lang w:eastAsia="en-US"/>
        </w:rPr>
        <w:t xml:space="preserve"> curves and of the spectral responsivity of PV devices, but they regularly lack documentation for determination of the uncertainty of the measurements. This determination of the uncertainty is often requested by the user</w:t>
      </w:r>
      <w:r>
        <w:rPr>
          <w:rFonts w:cs="Arial"/>
          <w:lang w:eastAsia="en-US"/>
        </w:rPr>
        <w:t>s</w:t>
      </w:r>
      <w:r w:rsidRPr="00762BAC">
        <w:rPr>
          <w:rFonts w:cs="Arial"/>
          <w:lang w:eastAsia="en-US"/>
        </w:rPr>
        <w:t xml:space="preserve"> of the standards. </w:t>
      </w:r>
    </w:p>
    <w:p w14:paraId="39B3BB15" w14:textId="77777777" w:rsidR="006E182D" w:rsidRPr="00762BAC" w:rsidRDefault="006E182D" w:rsidP="00E57C7B">
      <w:pPr>
        <w:pStyle w:val="EMPIRbodytext"/>
        <w:spacing w:after="120"/>
        <w:rPr>
          <w:rFonts w:cs="Arial"/>
          <w:lang w:eastAsia="en-US"/>
        </w:rPr>
      </w:pPr>
      <w:r w:rsidRPr="00762BAC">
        <w:rPr>
          <w:rFonts w:cs="Arial"/>
          <w:lang w:eastAsia="en-US"/>
        </w:rPr>
        <w:t xml:space="preserve">The project will remedy the deficiency of the IEC 60904 standard series by writing technical reports on how to calculate the measurement uncertainties. </w:t>
      </w:r>
    </w:p>
    <w:p w14:paraId="3F1CEF5E" w14:textId="77777777" w:rsidR="006E182D" w:rsidRPr="00762BAC" w:rsidRDefault="006E182D" w:rsidP="00E57C7B">
      <w:pPr>
        <w:pStyle w:val="EMPIRbodytext"/>
        <w:spacing w:after="120"/>
        <w:rPr>
          <w:rFonts w:cs="Arial"/>
          <w:i/>
          <w:iCs/>
        </w:rPr>
      </w:pPr>
      <w:r w:rsidRPr="00762BAC">
        <w:rPr>
          <w:rFonts w:cs="Arial"/>
          <w:i/>
          <w:iCs/>
        </w:rPr>
        <w:t>Definition of a quality metric for the sensitivity of PV modules power output in shady locations</w:t>
      </w:r>
    </w:p>
    <w:p w14:paraId="5417C1B6" w14:textId="77777777" w:rsidR="006E182D" w:rsidRPr="00762BAC" w:rsidRDefault="006E182D" w:rsidP="00E57C7B">
      <w:pPr>
        <w:pStyle w:val="EMPIRbodytext"/>
        <w:spacing w:after="120"/>
        <w:rPr>
          <w:rFonts w:cs="Arial"/>
          <w:lang w:eastAsia="en-US"/>
        </w:rPr>
      </w:pPr>
      <w:r w:rsidRPr="00762BAC">
        <w:rPr>
          <w:rFonts w:cs="Arial"/>
          <w:lang w:eastAsia="en-US"/>
        </w:rPr>
        <w:t xml:space="preserve">State of the art energy rating procedures are currently not applicable to the emerging technologies </w:t>
      </w:r>
      <w:r w:rsidRPr="00762BAC">
        <w:rPr>
          <w:rFonts w:cs="Arial"/>
        </w:rPr>
        <w:t>(e.g.</w:t>
      </w:r>
      <w:r>
        <w:rPr>
          <w:rFonts w:cs="Arial"/>
        </w:rPr>
        <w:t> </w:t>
      </w:r>
      <w:r w:rsidRPr="00762BAC">
        <w:rPr>
          <w:rFonts w:cs="Arial"/>
          <w:lang w:eastAsia="en-US"/>
        </w:rPr>
        <w:t>perovskite-on-silicon tandem</w:t>
      </w:r>
      <w:r w:rsidRPr="00762BAC">
        <w:rPr>
          <w:rFonts w:cs="Arial"/>
        </w:rPr>
        <w:t>)</w:t>
      </w:r>
      <w:r w:rsidRPr="00762BAC">
        <w:rPr>
          <w:rFonts w:cs="Arial"/>
          <w:lang w:eastAsia="en-US"/>
        </w:rPr>
        <w:t xml:space="preserve">. The existing methods and calculations do not consider the non-uniformity of irradiance in shady urban areas. </w:t>
      </w:r>
    </w:p>
    <w:p w14:paraId="2E6F57C8" w14:textId="77777777" w:rsidR="006E182D" w:rsidRPr="00762BAC" w:rsidRDefault="006E182D" w:rsidP="00E57C7B">
      <w:pPr>
        <w:pStyle w:val="EMPIRbodytext"/>
        <w:spacing w:after="120"/>
        <w:rPr>
          <w:rFonts w:cs="Arial"/>
          <w:lang w:eastAsia="en-US"/>
        </w:rPr>
      </w:pPr>
      <w:r w:rsidRPr="00762BAC">
        <w:rPr>
          <w:rFonts w:cs="Arial"/>
          <w:lang w:eastAsia="en-US"/>
        </w:rPr>
        <w:t xml:space="preserve">In this project a metric will be developed to rate the shading sensitivity of PV modules. This metric will improve the accuracy of energy yield determination. </w:t>
      </w:r>
    </w:p>
    <w:p w14:paraId="02C729A5" w14:textId="77777777" w:rsidR="00E57C7B" w:rsidRDefault="00E57C7B" w:rsidP="00E57C7B">
      <w:pPr>
        <w:pStyle w:val="EMPIRbodytext"/>
        <w:spacing w:after="120"/>
        <w:rPr>
          <w:rFonts w:cs="Arial"/>
          <w:i/>
          <w:iCs/>
        </w:rPr>
      </w:pPr>
    </w:p>
    <w:p w14:paraId="558D38C7" w14:textId="77777777" w:rsidR="00E57C7B" w:rsidRDefault="00E57C7B" w:rsidP="00E57C7B">
      <w:pPr>
        <w:pStyle w:val="EMPIRbodytext"/>
        <w:spacing w:after="120"/>
        <w:rPr>
          <w:rFonts w:cs="Arial"/>
          <w:i/>
          <w:iCs/>
        </w:rPr>
      </w:pPr>
    </w:p>
    <w:p w14:paraId="043F6A71" w14:textId="77777777" w:rsidR="00E57C7B" w:rsidRDefault="00E57C7B" w:rsidP="00E57C7B">
      <w:pPr>
        <w:pStyle w:val="EMPIRbodytext"/>
        <w:spacing w:after="120"/>
        <w:rPr>
          <w:rFonts w:cs="Arial"/>
          <w:i/>
          <w:iCs/>
        </w:rPr>
      </w:pPr>
    </w:p>
    <w:p w14:paraId="00876662" w14:textId="25C7FCF1" w:rsidR="006E182D" w:rsidRPr="00762BAC" w:rsidRDefault="006E182D" w:rsidP="00E57C7B">
      <w:pPr>
        <w:pStyle w:val="EMPIRbodytext"/>
        <w:spacing w:after="120"/>
        <w:rPr>
          <w:rFonts w:cs="Arial"/>
        </w:rPr>
      </w:pPr>
      <w:r w:rsidRPr="00762BAC">
        <w:rPr>
          <w:rFonts w:cs="Arial"/>
          <w:i/>
          <w:iCs/>
        </w:rPr>
        <w:lastRenderedPageBreak/>
        <w:t>Characterisation and classification of PV-based energy-harvesting devices for Internet of Things (IoT) applications</w:t>
      </w:r>
    </w:p>
    <w:p w14:paraId="656F5F18" w14:textId="77777777" w:rsidR="006E182D" w:rsidRPr="00762BAC" w:rsidRDefault="006E182D" w:rsidP="00E57C7B">
      <w:pPr>
        <w:pStyle w:val="EMPIRbodytext"/>
        <w:spacing w:after="120"/>
        <w:rPr>
          <w:rFonts w:cs="Arial"/>
          <w:lang w:eastAsia="en-US"/>
        </w:rPr>
      </w:pPr>
      <w:r w:rsidRPr="00762BAC">
        <w:rPr>
          <w:rFonts w:cs="Arial"/>
          <w:lang w:eastAsia="en-US"/>
        </w:rPr>
        <w:t xml:space="preserve">In the area of indoor-PV, standardisation has just started recently. Indoor PV is used for autarkic energy supply of energy harvesting Internet of Things applications, e.g. for communication and sensor issues. No standards are currently available, although they are important for Industry 4.0 applications. </w:t>
      </w:r>
    </w:p>
    <w:p w14:paraId="3DD10D22" w14:textId="1EC2B843" w:rsidR="00C959D4" w:rsidRPr="00E57C7B" w:rsidRDefault="006E182D" w:rsidP="00E57C7B">
      <w:pPr>
        <w:pStyle w:val="EMPIRbodytext"/>
        <w:spacing w:after="120"/>
        <w:rPr>
          <w:rFonts w:cs="Arial"/>
        </w:rPr>
      </w:pPr>
      <w:r w:rsidRPr="00762BAC">
        <w:rPr>
          <w:rFonts w:cs="Arial"/>
        </w:rPr>
        <w:t xml:space="preserve">The research activities within this project will contribute significantly to the ongoing standardisation processes by </w:t>
      </w:r>
      <w:r>
        <w:rPr>
          <w:rFonts w:cs="Arial"/>
        </w:rPr>
        <w:t>providing</w:t>
      </w:r>
      <w:r w:rsidRPr="00762BAC">
        <w:rPr>
          <w:rFonts w:cs="Arial"/>
        </w:rPr>
        <w:t xml:space="preserve"> input to the standardisation. </w:t>
      </w:r>
    </w:p>
    <w:p w14:paraId="09673CBE" w14:textId="5FDE2AC4" w:rsidR="004F4E51" w:rsidRDefault="00D3743D" w:rsidP="00E57C7B">
      <w:pPr>
        <w:pStyle w:val="Header"/>
        <w:keepNext/>
        <w:tabs>
          <w:tab w:val="clear" w:pos="4536"/>
          <w:tab w:val="clear" w:pos="9072"/>
        </w:tabs>
        <w:spacing w:before="120" w:after="120"/>
        <w:jc w:val="both"/>
        <w:rPr>
          <w:rFonts w:ascii="Arial" w:hAnsi="Arial"/>
          <w:b/>
          <w:lang w:val="en-GB"/>
        </w:rPr>
      </w:pPr>
      <w:r w:rsidRPr="008176E6">
        <w:rPr>
          <w:rFonts w:ascii="Arial" w:hAnsi="Arial"/>
          <w:b/>
          <w:lang w:val="en-GB"/>
        </w:rPr>
        <w:t>Impact</w:t>
      </w:r>
    </w:p>
    <w:p w14:paraId="4F6BF1A9" w14:textId="77777777" w:rsidR="00F17E12" w:rsidRPr="00762BAC" w:rsidRDefault="00F17E12" w:rsidP="00E57C7B">
      <w:pPr>
        <w:pStyle w:val="EMPIRbodytext"/>
        <w:keepNext/>
        <w:spacing w:after="120"/>
        <w:rPr>
          <w:rFonts w:cs="Arial"/>
          <w:i/>
          <w:lang w:eastAsia="en-US"/>
        </w:rPr>
      </w:pPr>
      <w:r w:rsidRPr="00762BAC">
        <w:rPr>
          <w:rFonts w:cs="Arial"/>
          <w:i/>
          <w:lang w:eastAsia="en-US"/>
        </w:rPr>
        <w:t>Impact on industrial and other user communities</w:t>
      </w:r>
    </w:p>
    <w:p w14:paraId="7B22BBBB" w14:textId="77777777" w:rsidR="00F17E12" w:rsidRPr="00762BAC" w:rsidRDefault="00F17E12" w:rsidP="00E57C7B">
      <w:pPr>
        <w:pStyle w:val="EMPIRbodytext"/>
        <w:spacing w:after="120"/>
        <w:rPr>
          <w:rFonts w:cs="Arial"/>
          <w:lang w:eastAsia="en-US"/>
        </w:rPr>
      </w:pPr>
      <w:r w:rsidRPr="00762BAC">
        <w:rPr>
          <w:rFonts w:cs="Arial"/>
          <w:lang w:eastAsia="en-US"/>
        </w:rPr>
        <w:t xml:space="preserve">This project directly supports the PV community, i.e. PV manufacturers and suppliers, with new and improved measurement capabilities for emerging PV technologies and applications. In addition to the PV industry, the defined measurement procedures for indoor-PV could be utilised by all industries that are using self-sustaining Internet of Things devices with a PV power supply. Industry 4.0 concepts using wireless sensor technologies from the Internet of Things ecosystem will benefit from the project due to the more accurate determination of the device efficiency in a realistic indoor lighting environment. </w:t>
      </w:r>
    </w:p>
    <w:p w14:paraId="7E88DEE1" w14:textId="77777777" w:rsidR="00F17E12" w:rsidRPr="00762BAC" w:rsidRDefault="00F17E12" w:rsidP="00E57C7B">
      <w:pPr>
        <w:pStyle w:val="EMPIRbodytext"/>
        <w:spacing w:after="120"/>
        <w:rPr>
          <w:rFonts w:cs="Arial"/>
          <w:lang w:eastAsia="en-US"/>
        </w:rPr>
      </w:pPr>
      <w:r w:rsidRPr="00762BAC">
        <w:rPr>
          <w:rFonts w:cs="Arial"/>
          <w:lang w:eastAsia="en-US"/>
        </w:rPr>
        <w:t>Hence, this project will support the penetration of these emerging PV products (perovskite-on-silicon tandem solar cells/modules and indoor-PV) into the PV market. This will enable cost reductions in PV applications.</w:t>
      </w:r>
    </w:p>
    <w:p w14:paraId="63DB57F2" w14:textId="77777777" w:rsidR="00F17E12" w:rsidRPr="00762BAC" w:rsidRDefault="00F17E12" w:rsidP="00E57C7B">
      <w:pPr>
        <w:pStyle w:val="EMPIRbodytext"/>
        <w:spacing w:after="120"/>
        <w:rPr>
          <w:rFonts w:cs="Arial"/>
          <w:i/>
          <w:lang w:eastAsia="en-US"/>
        </w:rPr>
      </w:pPr>
      <w:r w:rsidRPr="00762BAC">
        <w:rPr>
          <w:rFonts w:cs="Arial"/>
          <w:i/>
          <w:lang w:eastAsia="en-US"/>
        </w:rPr>
        <w:t>Impact on the metrology and scientific communities</w:t>
      </w:r>
    </w:p>
    <w:p w14:paraId="70C9C2A4" w14:textId="77777777" w:rsidR="00F17E12" w:rsidRPr="00762BAC" w:rsidRDefault="00F17E12" w:rsidP="00E57C7B">
      <w:pPr>
        <w:pStyle w:val="EMPIRbodytext"/>
        <w:spacing w:after="120"/>
        <w:rPr>
          <w:rFonts w:cs="Arial"/>
          <w:lang w:eastAsia="en-US"/>
        </w:rPr>
      </w:pPr>
      <w:r w:rsidRPr="00762BAC">
        <w:rPr>
          <w:rFonts w:cs="Arial"/>
          <w:lang w:eastAsia="en-US"/>
        </w:rPr>
        <w:t>The development of reference PV devices for emerging PV technologies and procedures for their calibration, sets an important basis for the metrology and scientific PV community. The improved facilities and procedures elaborated within this project will allow NMIs, calibration laboratories, and research institutes to gain competence in the field of emerging PV and it will enable traceable measurements to be conducted with the lowest possible uncertainties (2 % instead of 3 %).</w:t>
      </w:r>
    </w:p>
    <w:p w14:paraId="073D04B8" w14:textId="77777777" w:rsidR="00F17E12" w:rsidRPr="00762BAC" w:rsidRDefault="00F17E12" w:rsidP="00E57C7B">
      <w:pPr>
        <w:pStyle w:val="EMPIRbodytext"/>
        <w:spacing w:after="120"/>
        <w:rPr>
          <w:rFonts w:cs="Arial"/>
          <w:i/>
          <w:lang w:eastAsia="en-US"/>
        </w:rPr>
      </w:pPr>
      <w:r w:rsidRPr="00762BAC">
        <w:rPr>
          <w:rFonts w:cs="Arial"/>
          <w:i/>
          <w:lang w:eastAsia="en-US"/>
        </w:rPr>
        <w:t>Impact on relevant standards</w:t>
      </w:r>
    </w:p>
    <w:p w14:paraId="4AEAB320" w14:textId="77777777" w:rsidR="00F17E12" w:rsidRPr="00762BAC" w:rsidRDefault="00F17E12" w:rsidP="00E57C7B">
      <w:pPr>
        <w:pStyle w:val="EMPIRbodytext"/>
        <w:spacing w:after="120"/>
        <w:rPr>
          <w:rFonts w:cs="Arial"/>
          <w:lang w:eastAsia="en-US"/>
        </w:rPr>
      </w:pPr>
      <w:r w:rsidRPr="00762BAC">
        <w:rPr>
          <w:rFonts w:cs="Arial"/>
          <w:lang w:eastAsia="en-US"/>
        </w:rPr>
        <w:t xml:space="preserve">The project will enable the extension of existing standards </w:t>
      </w:r>
      <w:r w:rsidRPr="00762BAC">
        <w:rPr>
          <w:rFonts w:cs="Arial"/>
        </w:rPr>
        <w:t>(e.g. IEC 61853)</w:t>
      </w:r>
      <w:r w:rsidRPr="00762BAC">
        <w:rPr>
          <w:rFonts w:cs="Arial"/>
          <w:lang w:eastAsia="en-US"/>
        </w:rPr>
        <w:t xml:space="preserve"> to a more precise estimation of the energy output of a PV installation, thereby reducing the financial risk to investors and leading to higher investment in this type of renewable energy. Technical reports o</w:t>
      </w:r>
      <w:r>
        <w:rPr>
          <w:rFonts w:cs="Arial"/>
          <w:lang w:eastAsia="en-US"/>
        </w:rPr>
        <w:t>n</w:t>
      </w:r>
      <w:r w:rsidRPr="00762BAC">
        <w:rPr>
          <w:rFonts w:cs="Arial"/>
          <w:lang w:eastAsia="en-US"/>
        </w:rPr>
        <w:t xml:space="preserve"> the measurement uncertainties of the most important measurement standards (IEC 60904-1 and the IEC 60904-8) will be produced. These will complement the existing standards by providing a detailed uncertainty assessment, whilst removing their current significant limitation. In addition, this project will contribute to developments of new standards for indoor-PV.</w:t>
      </w:r>
    </w:p>
    <w:p w14:paraId="28E6B9E1" w14:textId="77777777" w:rsidR="00F17E12" w:rsidRPr="00762BAC" w:rsidRDefault="00F17E12" w:rsidP="00E57C7B">
      <w:pPr>
        <w:pStyle w:val="EMRPbodytext"/>
        <w:spacing w:after="120"/>
        <w:rPr>
          <w:rFonts w:cs="Arial"/>
          <w:i/>
        </w:rPr>
      </w:pPr>
      <w:r w:rsidRPr="00762BAC">
        <w:rPr>
          <w:rFonts w:cs="Arial"/>
          <w:i/>
        </w:rPr>
        <w:t>Longer-term economic, social and environmental impacts</w:t>
      </w:r>
    </w:p>
    <w:p w14:paraId="3675ABC1" w14:textId="77777777" w:rsidR="00F17E12" w:rsidRPr="00762BAC" w:rsidRDefault="00F17E12" w:rsidP="00E57C7B">
      <w:pPr>
        <w:pStyle w:val="EMRPbodytext"/>
        <w:spacing w:after="120"/>
        <w:rPr>
          <w:rFonts w:cs="Arial"/>
        </w:rPr>
      </w:pPr>
      <w:r w:rsidRPr="00762BAC">
        <w:rPr>
          <w:rFonts w:cs="Arial"/>
        </w:rPr>
        <w:t xml:space="preserve">The photovoltaic world market is worth about 100 billion Euros per year. New systems attract investment based on the estimated energy yield, which depends critically on the power rating under different conditions. Thus, every percent of measurement uncertainty leads to a financial uncertainty of 1 billion Euros. Studies predict a further increase in the market share of emerging PV and this is required to preserve the high growth rates of PV. </w:t>
      </w:r>
    </w:p>
    <w:p w14:paraId="5B4ADBBC" w14:textId="77777777" w:rsidR="00F17E12" w:rsidRPr="00762BAC" w:rsidRDefault="00F17E12" w:rsidP="00E57C7B">
      <w:pPr>
        <w:pStyle w:val="EMPIRbodytext"/>
        <w:spacing w:after="120"/>
        <w:rPr>
          <w:rFonts w:cs="Arial"/>
          <w:lang w:eastAsia="en-US"/>
        </w:rPr>
      </w:pPr>
      <w:r w:rsidRPr="00762BAC">
        <w:rPr>
          <w:rFonts w:cs="Arial"/>
          <w:lang w:eastAsia="en-US"/>
        </w:rPr>
        <w:t xml:space="preserve">The harmonised measurement methods for new technologies together with reduced measurement uncertainties will contribute to a clear reduction of the investment risk. It will empower consumers by enhancing a metric for PV efficiency based on energy output under European climate conditions by adding uncertainty evaluations to it and considering shading effects. This will allow a risk assessment of these predictions that is currently less precise, and thus it will enable system planners and financial institutions to optimise their services. Some decisions on how to invest public (government) and private (industry/consumers) money in PV are being made based on power and efficiency numbers that do not correlate with </w:t>
      </w:r>
      <w:r>
        <w:rPr>
          <w:rFonts w:cs="Arial"/>
          <w:lang w:eastAsia="en-US"/>
        </w:rPr>
        <w:t xml:space="preserve">the </w:t>
      </w:r>
      <w:r w:rsidRPr="00762BAC">
        <w:rPr>
          <w:rFonts w:cs="Arial"/>
          <w:lang w:eastAsia="en-US"/>
        </w:rPr>
        <w:t xml:space="preserve">energy output under operational conditions and give limited indication of the risks involved. These risks are related to the financial pay back expectation, and for systems consisting of tandem modules, the physical properties may lead to operation under conditions which result in significantly lower outputs than expected. Better understanding and harmonised characterisation of the effects on the energy generation of emerging PV technologies will significantly mitigate the investment risks for end users. </w:t>
      </w:r>
    </w:p>
    <w:p w14:paraId="61DCA638" w14:textId="77777777" w:rsidR="00F17E12" w:rsidRPr="00762BAC" w:rsidRDefault="00F17E12" w:rsidP="00E57C7B">
      <w:pPr>
        <w:pStyle w:val="EMPIRbodytext"/>
        <w:spacing w:after="120"/>
        <w:rPr>
          <w:rFonts w:cs="Arial"/>
          <w:lang w:eastAsia="en-US"/>
        </w:rPr>
      </w:pPr>
      <w:r w:rsidRPr="00762BAC">
        <w:rPr>
          <w:rFonts w:cs="Arial"/>
          <w:lang w:eastAsia="en-US"/>
        </w:rPr>
        <w:lastRenderedPageBreak/>
        <w:t>Based on the project’s outputs, industry will be able to optimise their emerging products for more realistic operating conditions. This will increase the competitiveness of PV industries where Europe holds a leading position.</w:t>
      </w:r>
    </w:p>
    <w:p w14:paraId="68E193E6" w14:textId="77777777" w:rsidR="00F17E12" w:rsidRPr="00762BAC" w:rsidRDefault="00F17E12" w:rsidP="00E57C7B">
      <w:pPr>
        <w:pStyle w:val="EMPIRbodytext"/>
        <w:keepNext/>
        <w:keepLines/>
        <w:spacing w:after="120"/>
        <w:rPr>
          <w:rFonts w:cs="Arial"/>
          <w:lang w:eastAsia="en-US"/>
        </w:rPr>
      </w:pPr>
      <w:r w:rsidRPr="00762BAC">
        <w:rPr>
          <w:rFonts w:cs="Arial"/>
          <w:lang w:eastAsia="en-US"/>
        </w:rPr>
        <w:t xml:space="preserve">Foreseeable impacts of the project are: </w:t>
      </w:r>
    </w:p>
    <w:p w14:paraId="30F3CB6D" w14:textId="77777777" w:rsidR="00F17E12" w:rsidRPr="00762BAC" w:rsidRDefault="00F17E12" w:rsidP="00E57C7B">
      <w:pPr>
        <w:pStyle w:val="EMPIRbodytext"/>
        <w:numPr>
          <w:ilvl w:val="0"/>
          <w:numId w:val="14"/>
        </w:numPr>
        <w:spacing w:after="120"/>
        <w:ind w:left="284" w:hanging="207"/>
        <w:rPr>
          <w:rFonts w:cs="Arial"/>
          <w:lang w:eastAsia="en-US"/>
        </w:rPr>
      </w:pPr>
      <w:r w:rsidRPr="00762BAC">
        <w:rPr>
          <w:rFonts w:cs="Arial"/>
          <w:lang w:eastAsia="en-US"/>
        </w:rPr>
        <w:t>Fair and impartial assessment of emerging technologies. This reduces deployment risk and accelerates time to market. For SMEs especially, it is important to show their achievements in a timely manner. Delays affect the R&amp;D development and potential market impact of EU technology.</w:t>
      </w:r>
    </w:p>
    <w:p w14:paraId="13CFEB84" w14:textId="77777777" w:rsidR="00F17E12" w:rsidRPr="00762BAC" w:rsidRDefault="00F17E12" w:rsidP="00E57C7B">
      <w:pPr>
        <w:pStyle w:val="EMPIRbodytext"/>
        <w:numPr>
          <w:ilvl w:val="0"/>
          <w:numId w:val="14"/>
        </w:numPr>
        <w:spacing w:after="120"/>
        <w:ind w:left="284" w:hanging="207"/>
        <w:rPr>
          <w:rFonts w:cs="Arial"/>
          <w:lang w:eastAsia="en-US"/>
        </w:rPr>
      </w:pPr>
      <w:r w:rsidRPr="00762BAC">
        <w:rPr>
          <w:rFonts w:cs="Arial"/>
          <w:lang w:eastAsia="en-US"/>
        </w:rPr>
        <w:t>Local certification of PV efficiency. This avoids IP-leakage that has been reported especially in the certification of some thin-film devices.</w:t>
      </w:r>
    </w:p>
    <w:p w14:paraId="2A8AF568" w14:textId="77777777" w:rsidR="00F17E12" w:rsidRPr="00762BAC" w:rsidRDefault="00F17E12" w:rsidP="00E57C7B">
      <w:pPr>
        <w:pStyle w:val="EMPIRbodytext"/>
        <w:numPr>
          <w:ilvl w:val="0"/>
          <w:numId w:val="14"/>
        </w:numPr>
        <w:spacing w:after="120"/>
        <w:ind w:left="284" w:hanging="207"/>
        <w:rPr>
          <w:rFonts w:cs="Arial"/>
          <w:lang w:eastAsia="en-US"/>
        </w:rPr>
      </w:pPr>
      <w:r w:rsidRPr="00762BAC">
        <w:rPr>
          <w:rFonts w:cs="Arial"/>
          <w:lang w:eastAsia="en-US"/>
        </w:rPr>
        <w:t>The development of a high-quality traceable measurement technique will protect European enterprises and end-users against cheap, but low-grade photovoltaic products.</w:t>
      </w:r>
    </w:p>
    <w:p w14:paraId="2FF55114" w14:textId="77777777" w:rsidR="00F17E12" w:rsidRPr="00762BAC" w:rsidRDefault="00F17E12" w:rsidP="00E57C7B">
      <w:pPr>
        <w:pStyle w:val="EMPIRbodytext"/>
        <w:numPr>
          <w:ilvl w:val="0"/>
          <w:numId w:val="14"/>
        </w:numPr>
        <w:spacing w:after="120"/>
        <w:ind w:left="284" w:hanging="207"/>
        <w:rPr>
          <w:rFonts w:cs="Arial"/>
          <w:lang w:eastAsia="en-US"/>
        </w:rPr>
      </w:pPr>
      <w:r w:rsidRPr="00762BAC">
        <w:rPr>
          <w:rFonts w:cs="Arial"/>
          <w:lang w:eastAsia="en-US"/>
        </w:rPr>
        <w:t xml:space="preserve">Support for sustainable and renewable European energy generation. </w:t>
      </w:r>
    </w:p>
    <w:p w14:paraId="71342BE1" w14:textId="77777777" w:rsidR="00F17E12" w:rsidRPr="00762BAC" w:rsidRDefault="00F17E12" w:rsidP="00E57C7B">
      <w:pPr>
        <w:pStyle w:val="EMPIRbodytext"/>
        <w:numPr>
          <w:ilvl w:val="0"/>
          <w:numId w:val="14"/>
        </w:numPr>
        <w:spacing w:after="120"/>
        <w:ind w:left="284" w:hanging="207"/>
        <w:rPr>
          <w:rFonts w:cs="Arial"/>
          <w:lang w:eastAsia="en-US"/>
        </w:rPr>
      </w:pPr>
      <w:r w:rsidRPr="00762BAC">
        <w:rPr>
          <w:rFonts w:cs="Arial"/>
          <w:lang w:eastAsia="en-US"/>
        </w:rPr>
        <w:t>The typically decentralised energy generation pattern of photovoltaic systems supports local employment policy and thus improves the socioeconomics in Europe.</w:t>
      </w:r>
    </w:p>
    <w:p w14:paraId="798438BE" w14:textId="77777777" w:rsidR="00F17E12" w:rsidRPr="00762BAC" w:rsidRDefault="00F17E12" w:rsidP="00E57C7B">
      <w:pPr>
        <w:pStyle w:val="EMPIRbodytext"/>
        <w:numPr>
          <w:ilvl w:val="0"/>
          <w:numId w:val="14"/>
        </w:numPr>
        <w:spacing w:after="120"/>
        <w:ind w:left="284" w:hanging="207"/>
        <w:rPr>
          <w:rFonts w:cs="Arial"/>
          <w:lang w:eastAsia="en-US"/>
        </w:rPr>
      </w:pPr>
      <w:r w:rsidRPr="00762BAC">
        <w:rPr>
          <w:rFonts w:cs="Arial"/>
          <w:lang w:eastAsia="en-US"/>
        </w:rPr>
        <w:t>The dissemination of good metrology practice and novel PV measurement methodologies to European industry will enhance productivity by the improvement of quality control and hence reduced wastage.</w:t>
      </w:r>
    </w:p>
    <w:p w14:paraId="6081C157" w14:textId="77777777" w:rsidR="00F17E12" w:rsidRPr="00762BAC" w:rsidRDefault="00F17E12" w:rsidP="00E57C7B">
      <w:pPr>
        <w:pStyle w:val="EMPIRbodytext"/>
        <w:numPr>
          <w:ilvl w:val="0"/>
          <w:numId w:val="14"/>
        </w:numPr>
        <w:spacing w:after="120"/>
        <w:ind w:left="284" w:hanging="207"/>
        <w:rPr>
          <w:rFonts w:cs="Arial"/>
          <w:lang w:eastAsia="en-US"/>
        </w:rPr>
      </w:pPr>
      <w:r w:rsidRPr="00762BAC">
        <w:rPr>
          <w:rFonts w:cs="Arial"/>
          <w:lang w:eastAsia="en-US"/>
        </w:rPr>
        <w:t xml:space="preserve">Appropriate PV metrology, based on the characteristics, will enable photovoltaic systems to thrive </w:t>
      </w:r>
      <w:r>
        <w:rPr>
          <w:rFonts w:cs="Arial"/>
          <w:lang w:eastAsia="en-US"/>
        </w:rPr>
        <w:t>i</w:t>
      </w:r>
      <w:r w:rsidRPr="00762BAC">
        <w:rPr>
          <w:rFonts w:cs="Arial"/>
          <w:lang w:eastAsia="en-US"/>
        </w:rPr>
        <w:t>n an even more competitive power market, potentially enabling PV systems to bid subsidy-free into the free power market.</w:t>
      </w:r>
    </w:p>
    <w:p w14:paraId="6CE30B3B" w14:textId="77777777" w:rsidR="00F17E12" w:rsidRPr="00762BAC" w:rsidRDefault="00F17E12" w:rsidP="00E57C7B">
      <w:pPr>
        <w:pStyle w:val="EMPIRbodytext"/>
        <w:spacing w:after="120"/>
        <w:rPr>
          <w:rFonts w:cs="Arial"/>
          <w:lang w:eastAsia="en-US"/>
        </w:rPr>
      </w:pPr>
      <w:bookmarkStart w:id="0" w:name="_Hlk20697082"/>
      <w:r w:rsidRPr="00762BAC">
        <w:rPr>
          <w:rFonts w:cs="Arial"/>
          <w:lang w:eastAsia="en-US"/>
        </w:rPr>
        <w:t>This project will meet the essential requirements for reducing the investment risk associated with initiating new large-scale PV installations, for removing barriers to entering the marketplace and thus it will accelerate the overall cost reduction of photovoltaics by delivering key enabling metrological research.</w:t>
      </w:r>
    </w:p>
    <w:bookmarkEnd w:id="0"/>
    <w:p w14:paraId="12BF4B0C" w14:textId="77777777" w:rsidR="00607EFF" w:rsidRDefault="00607EFF" w:rsidP="00E57C7B">
      <w:pPr>
        <w:pStyle w:val="BodyText2"/>
        <w:spacing w:before="60" w:after="60"/>
        <w:jc w:val="both"/>
        <w:rPr>
          <w:rFonts w:eastAsia="Times New Roman" w:cs="Times New Roman"/>
          <w:i/>
          <w:sz w:val="20"/>
          <w:lang w:val="en-GB" w:eastAsia="de-DE"/>
        </w:rPr>
      </w:pPr>
    </w:p>
    <w:p w14:paraId="188A7536" w14:textId="7F4F6CE6" w:rsidR="00607EFF" w:rsidRPr="00607EFF" w:rsidRDefault="00607EFF" w:rsidP="00607EFF">
      <w:pPr>
        <w:pStyle w:val="BodyText2"/>
        <w:rPr>
          <w:rFonts w:eastAsia="Times New Roman" w:cs="Times New Roman"/>
          <w:i/>
          <w:sz w:val="20"/>
          <w:lang w:val="en-GB" w:eastAsia="de-DE"/>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190"/>
        <w:gridCol w:w="1738"/>
        <w:gridCol w:w="1452"/>
        <w:gridCol w:w="3113"/>
      </w:tblGrid>
      <w:tr w:rsidR="008E1DD3" w:rsidRPr="009451BD" w14:paraId="27E1860B" w14:textId="77777777" w:rsidTr="0D2F6015">
        <w:tc>
          <w:tcPr>
            <w:tcW w:w="4928" w:type="dxa"/>
            <w:gridSpan w:val="2"/>
          </w:tcPr>
          <w:p w14:paraId="61251142" w14:textId="77777777" w:rsidR="008E1DD3" w:rsidRDefault="008E1DD3" w:rsidP="00380553">
            <w:pPr>
              <w:spacing w:before="60" w:after="60"/>
              <w:rPr>
                <w:rFonts w:ascii="Arial" w:hAnsi="Arial" w:cs="Arial"/>
                <w:sz w:val="18"/>
                <w:lang w:val="en-GB"/>
              </w:rPr>
            </w:pPr>
            <w:r>
              <w:rPr>
                <w:rFonts w:ascii="Arial" w:hAnsi="Arial" w:cs="Arial"/>
                <w:sz w:val="18"/>
                <w:lang w:val="en-GB"/>
              </w:rPr>
              <w:t>Project start date and duration:</w:t>
            </w:r>
          </w:p>
        </w:tc>
        <w:tc>
          <w:tcPr>
            <w:tcW w:w="4565" w:type="dxa"/>
            <w:gridSpan w:val="2"/>
          </w:tcPr>
          <w:p w14:paraId="6613FD19" w14:textId="010C3645" w:rsidR="008E1DD3" w:rsidRDefault="2BB05B88" w:rsidP="00380553">
            <w:pPr>
              <w:spacing w:before="60" w:after="60"/>
              <w:rPr>
                <w:rFonts w:ascii="Arial" w:hAnsi="Arial" w:cs="Arial"/>
                <w:sz w:val="18"/>
                <w:szCs w:val="18"/>
                <w:lang w:val="en-GB"/>
              </w:rPr>
            </w:pPr>
            <w:r w:rsidRPr="0D2F6015">
              <w:rPr>
                <w:rFonts w:ascii="Arial" w:hAnsi="Arial" w:cs="Arial"/>
                <w:sz w:val="18"/>
                <w:szCs w:val="18"/>
                <w:lang w:val="en-GB"/>
              </w:rPr>
              <w:t xml:space="preserve">01 September 2020, </w:t>
            </w:r>
            <w:r w:rsidR="0720E324" w:rsidRPr="0D2F6015">
              <w:rPr>
                <w:rFonts w:ascii="Arial" w:hAnsi="Arial" w:cs="Arial"/>
                <w:sz w:val="18"/>
                <w:szCs w:val="18"/>
                <w:lang w:val="en-GB"/>
              </w:rPr>
              <w:t>36 months</w:t>
            </w:r>
          </w:p>
        </w:tc>
      </w:tr>
      <w:tr w:rsidR="008E1DD3" w:rsidRPr="009451BD" w14:paraId="2AC399AB" w14:textId="77777777" w:rsidTr="0D2F6015">
        <w:trPr>
          <w:cantSplit/>
        </w:trPr>
        <w:tc>
          <w:tcPr>
            <w:tcW w:w="9493" w:type="dxa"/>
            <w:gridSpan w:val="4"/>
          </w:tcPr>
          <w:p w14:paraId="7D4CEBF5" w14:textId="4B339A74" w:rsidR="1D711101" w:rsidRDefault="1D711101" w:rsidP="00380553">
            <w:pPr>
              <w:spacing w:before="60" w:after="60"/>
            </w:pPr>
            <w:r w:rsidRPr="0D2F6015">
              <w:rPr>
                <w:rFonts w:ascii="Arial" w:eastAsia="Arial" w:hAnsi="Arial" w:cs="Arial"/>
                <w:sz w:val="18"/>
                <w:szCs w:val="18"/>
                <w:lang w:val="en-GB"/>
              </w:rPr>
              <w:t xml:space="preserve">Coordinator:  </w:t>
            </w:r>
            <w:r w:rsidRPr="0D2F6015">
              <w:rPr>
                <w:rFonts w:ascii="Arial" w:eastAsia="Arial" w:hAnsi="Arial" w:cs="Arial"/>
                <w:sz w:val="18"/>
                <w:szCs w:val="18"/>
                <w:lang w:val="en-US"/>
              </w:rPr>
              <w:t>Stefan Winter, Dr., PTB       Tel:  +49 531 924 140       E-mail: stefan.winter@ptb.de</w:t>
            </w:r>
          </w:p>
          <w:p w14:paraId="25FE605D" w14:textId="7C9B0748" w:rsidR="008E1DD3" w:rsidRPr="0044072E" w:rsidRDefault="008E1DD3" w:rsidP="00380553">
            <w:pPr>
              <w:spacing w:before="60" w:after="60"/>
              <w:rPr>
                <w:rFonts w:ascii="Arial" w:hAnsi="Arial" w:cs="Arial"/>
                <w:sz w:val="18"/>
                <w:szCs w:val="18"/>
                <w:lang w:val="en-GB"/>
              </w:rPr>
            </w:pPr>
            <w:r w:rsidRPr="0D2F6015">
              <w:rPr>
                <w:rFonts w:ascii="Arial" w:hAnsi="Arial" w:cs="Arial"/>
                <w:sz w:val="18"/>
                <w:szCs w:val="18"/>
                <w:lang w:val="en-GB"/>
              </w:rPr>
              <w:t xml:space="preserve">Project website address: </w:t>
            </w:r>
            <w:r w:rsidR="58B57D46" w:rsidRPr="0D2F6015">
              <w:rPr>
                <w:rFonts w:ascii="Arial" w:hAnsi="Arial" w:cs="Arial"/>
                <w:sz w:val="18"/>
                <w:szCs w:val="18"/>
                <w:lang w:val="en-GB"/>
              </w:rPr>
              <w:t>https://www.metro-pv.ptb.de/home</w:t>
            </w:r>
          </w:p>
        </w:tc>
      </w:tr>
      <w:tr w:rsidR="002D08B2" w14:paraId="11417013" w14:textId="77777777" w:rsidTr="0D2F6015">
        <w:tc>
          <w:tcPr>
            <w:tcW w:w="3190" w:type="dxa"/>
          </w:tcPr>
          <w:p w14:paraId="629F0210" w14:textId="77777777" w:rsidR="002D08B2" w:rsidRPr="00E9136D" w:rsidRDefault="002D08B2" w:rsidP="00380553">
            <w:pPr>
              <w:spacing w:before="60" w:after="60"/>
              <w:rPr>
                <w:rFonts w:ascii="Arial" w:hAnsi="Arial" w:cs="Arial"/>
                <w:sz w:val="18"/>
                <w:szCs w:val="18"/>
                <w:lang w:val="en-GB"/>
              </w:rPr>
            </w:pPr>
            <w:r w:rsidRPr="00E9136D">
              <w:rPr>
                <w:rFonts w:ascii="Arial" w:hAnsi="Arial" w:cs="Arial"/>
                <w:sz w:val="18"/>
                <w:szCs w:val="18"/>
                <w:lang w:val="en-GB"/>
              </w:rPr>
              <w:t>Internal Funded Partners:</w:t>
            </w:r>
          </w:p>
          <w:p w14:paraId="091F0F3C" w14:textId="7F2F77B2" w:rsidR="002D08B2" w:rsidRPr="00E9136D" w:rsidRDefault="42019308" w:rsidP="00380553">
            <w:pPr>
              <w:pStyle w:val="ListParagraph"/>
              <w:numPr>
                <w:ilvl w:val="0"/>
                <w:numId w:val="11"/>
              </w:numPr>
              <w:spacing w:before="60" w:after="60"/>
              <w:ind w:left="204" w:hanging="204"/>
              <w:rPr>
                <w:rFonts w:ascii="Arial" w:eastAsia="Arial" w:hAnsi="Arial" w:cs="Arial"/>
                <w:sz w:val="18"/>
                <w:szCs w:val="18"/>
              </w:rPr>
            </w:pPr>
            <w:r w:rsidRPr="0D2F6015">
              <w:rPr>
                <w:rFonts w:ascii="Arial" w:eastAsia="Arial" w:hAnsi="Arial" w:cs="Arial"/>
                <w:color w:val="000000" w:themeColor="text1"/>
                <w:sz w:val="18"/>
                <w:szCs w:val="18"/>
              </w:rPr>
              <w:t xml:space="preserve"> PTB</w:t>
            </w:r>
            <w:r w:rsidR="002D08B2" w:rsidRPr="0D2F6015">
              <w:rPr>
                <w:rFonts w:ascii="Arial" w:hAnsi="Arial" w:cs="Arial"/>
                <w:sz w:val="18"/>
                <w:szCs w:val="18"/>
              </w:rPr>
              <w:t xml:space="preserve">, </w:t>
            </w:r>
            <w:r w:rsidR="5DEF0CD2" w:rsidRPr="0D2F6015">
              <w:rPr>
                <w:rFonts w:ascii="Arial" w:hAnsi="Arial" w:cs="Arial"/>
                <w:sz w:val="18"/>
                <w:szCs w:val="18"/>
              </w:rPr>
              <w:t>Germany</w:t>
            </w:r>
          </w:p>
          <w:p w14:paraId="07982819" w14:textId="707B2512" w:rsidR="002D08B2" w:rsidRPr="00E9136D" w:rsidRDefault="5DEF0CD2" w:rsidP="00380553">
            <w:pPr>
              <w:pStyle w:val="ListParagraph"/>
              <w:numPr>
                <w:ilvl w:val="0"/>
                <w:numId w:val="11"/>
              </w:numPr>
              <w:spacing w:before="60" w:after="60"/>
              <w:ind w:left="204" w:hanging="204"/>
              <w:rPr>
                <w:rFonts w:ascii="Arial" w:eastAsia="Arial" w:hAnsi="Arial" w:cs="Arial"/>
                <w:sz w:val="18"/>
                <w:szCs w:val="18"/>
              </w:rPr>
            </w:pPr>
            <w:r w:rsidRPr="0D2F6015">
              <w:rPr>
                <w:rFonts w:ascii="Arial" w:eastAsia="Arial" w:hAnsi="Arial" w:cs="Arial"/>
                <w:color w:val="000000" w:themeColor="text1"/>
                <w:sz w:val="18"/>
                <w:szCs w:val="18"/>
              </w:rPr>
              <w:t>Aalto</w:t>
            </w:r>
            <w:r w:rsidR="002D08B2" w:rsidRPr="0D2F6015">
              <w:rPr>
                <w:rFonts w:ascii="Arial" w:hAnsi="Arial" w:cs="Arial"/>
                <w:sz w:val="18"/>
                <w:szCs w:val="18"/>
              </w:rPr>
              <w:t xml:space="preserve">, </w:t>
            </w:r>
            <w:r w:rsidR="27495B7E" w:rsidRPr="0D2F6015">
              <w:rPr>
                <w:rFonts w:ascii="Arial" w:hAnsi="Arial" w:cs="Arial"/>
                <w:sz w:val="18"/>
                <w:szCs w:val="18"/>
              </w:rPr>
              <w:t>Finland</w:t>
            </w:r>
          </w:p>
          <w:p w14:paraId="6A06E45C" w14:textId="78A99216" w:rsidR="002D08B2" w:rsidRPr="00E9136D" w:rsidRDefault="27495B7E" w:rsidP="00380553">
            <w:pPr>
              <w:pStyle w:val="ListParagraph"/>
              <w:numPr>
                <w:ilvl w:val="0"/>
                <w:numId w:val="11"/>
              </w:numPr>
              <w:spacing w:before="60" w:after="60"/>
              <w:ind w:left="204" w:hanging="204"/>
              <w:rPr>
                <w:rFonts w:ascii="Arial" w:eastAsia="Arial" w:hAnsi="Arial" w:cs="Arial"/>
                <w:sz w:val="18"/>
                <w:szCs w:val="18"/>
              </w:rPr>
            </w:pPr>
            <w:r w:rsidRPr="0D2F6015">
              <w:rPr>
                <w:rFonts w:ascii="Arial" w:eastAsia="Arial" w:hAnsi="Arial" w:cs="Arial"/>
                <w:color w:val="000000" w:themeColor="text1"/>
                <w:sz w:val="18"/>
                <w:szCs w:val="18"/>
              </w:rPr>
              <w:t>IMBiH</w:t>
            </w:r>
            <w:r w:rsidR="002D08B2" w:rsidRPr="0D2F6015">
              <w:rPr>
                <w:rFonts w:ascii="Arial" w:hAnsi="Arial" w:cs="Arial"/>
                <w:sz w:val="18"/>
                <w:szCs w:val="18"/>
              </w:rPr>
              <w:t xml:space="preserve">, </w:t>
            </w:r>
            <w:r w:rsidR="00380553" w:rsidRPr="00380553">
              <w:rPr>
                <w:rFonts w:ascii="Arial" w:eastAsia="Arial" w:hAnsi="Arial" w:cs="Arial"/>
                <w:color w:val="000000" w:themeColor="text1"/>
                <w:sz w:val="18"/>
                <w:szCs w:val="18"/>
              </w:rPr>
              <w:t>Bosnia and Herzegovina</w:t>
            </w:r>
          </w:p>
          <w:p w14:paraId="04AB1AA1" w14:textId="18352D90" w:rsidR="002D08B2" w:rsidRPr="00E9136D" w:rsidRDefault="14486A28" w:rsidP="00380553">
            <w:pPr>
              <w:pStyle w:val="ListParagraph"/>
              <w:numPr>
                <w:ilvl w:val="0"/>
                <w:numId w:val="11"/>
              </w:numPr>
              <w:spacing w:before="60" w:after="60"/>
              <w:ind w:left="204" w:hanging="204"/>
              <w:rPr>
                <w:rFonts w:ascii="Arial" w:eastAsia="Arial" w:hAnsi="Arial" w:cs="Arial"/>
                <w:color w:val="000000" w:themeColor="text1"/>
                <w:sz w:val="18"/>
                <w:szCs w:val="18"/>
              </w:rPr>
            </w:pPr>
            <w:r w:rsidRPr="0D2F6015">
              <w:rPr>
                <w:rFonts w:ascii="Arial" w:eastAsia="Arial" w:hAnsi="Arial" w:cs="Arial"/>
                <w:color w:val="000000" w:themeColor="text1"/>
                <w:sz w:val="18"/>
                <w:szCs w:val="18"/>
              </w:rPr>
              <w:t>LNE, France</w:t>
            </w:r>
          </w:p>
          <w:p w14:paraId="52BBD30F" w14:textId="38303E64" w:rsidR="002D08B2" w:rsidRPr="00E9136D" w:rsidRDefault="14486A28" w:rsidP="00380553">
            <w:pPr>
              <w:pStyle w:val="ListParagraph"/>
              <w:numPr>
                <w:ilvl w:val="0"/>
                <w:numId w:val="11"/>
              </w:numPr>
              <w:spacing w:before="60" w:after="60"/>
              <w:ind w:left="204" w:hanging="204"/>
              <w:rPr>
                <w:rFonts w:ascii="Arial" w:eastAsia="Arial" w:hAnsi="Arial" w:cs="Arial"/>
                <w:color w:val="000000" w:themeColor="text1"/>
                <w:sz w:val="18"/>
                <w:szCs w:val="18"/>
              </w:rPr>
            </w:pPr>
            <w:r w:rsidRPr="0D2F6015">
              <w:rPr>
                <w:rFonts w:ascii="Arial" w:eastAsia="Arial" w:hAnsi="Arial" w:cs="Arial"/>
                <w:color w:val="000000" w:themeColor="text1"/>
                <w:sz w:val="18"/>
                <w:szCs w:val="18"/>
              </w:rPr>
              <w:t>TUBITAK, Turkey</w:t>
            </w:r>
          </w:p>
        </w:tc>
        <w:tc>
          <w:tcPr>
            <w:tcW w:w="3190" w:type="dxa"/>
            <w:gridSpan w:val="2"/>
          </w:tcPr>
          <w:p w14:paraId="2E629B4F" w14:textId="77777777" w:rsidR="002D08B2" w:rsidRPr="00E9136D" w:rsidRDefault="002D08B2" w:rsidP="00380553">
            <w:pPr>
              <w:spacing w:before="60" w:after="60"/>
              <w:rPr>
                <w:rFonts w:ascii="Arial" w:hAnsi="Arial" w:cs="Arial"/>
                <w:sz w:val="18"/>
                <w:szCs w:val="18"/>
                <w:lang w:val="en-GB"/>
              </w:rPr>
            </w:pPr>
            <w:r w:rsidRPr="00E9136D">
              <w:rPr>
                <w:rFonts w:ascii="Arial" w:hAnsi="Arial" w:cs="Arial"/>
                <w:sz w:val="18"/>
                <w:szCs w:val="18"/>
                <w:lang w:val="en-GB"/>
              </w:rPr>
              <w:t>External Funded Partners:</w:t>
            </w:r>
          </w:p>
          <w:p w14:paraId="17ECFDAB" w14:textId="048143D5" w:rsidR="002D08B2" w:rsidRPr="00E9136D" w:rsidRDefault="05863C18" w:rsidP="00380553">
            <w:pPr>
              <w:pStyle w:val="ListParagraph"/>
              <w:numPr>
                <w:ilvl w:val="0"/>
                <w:numId w:val="11"/>
              </w:numPr>
              <w:spacing w:before="60" w:after="60"/>
              <w:ind w:left="241" w:hanging="241"/>
              <w:rPr>
                <w:rFonts w:ascii="Arial" w:eastAsia="Arial" w:hAnsi="Arial" w:cs="Arial"/>
                <w:sz w:val="18"/>
                <w:szCs w:val="18"/>
              </w:rPr>
            </w:pPr>
            <w:r w:rsidRPr="0D2F6015">
              <w:rPr>
                <w:rFonts w:ascii="Arial" w:eastAsia="Arial" w:hAnsi="Arial" w:cs="Arial"/>
                <w:color w:val="000000" w:themeColor="text1"/>
                <w:sz w:val="18"/>
                <w:szCs w:val="18"/>
              </w:rPr>
              <w:t>FhG, Germany</w:t>
            </w:r>
          </w:p>
          <w:p w14:paraId="30FD0947" w14:textId="4AD52FFA" w:rsidR="05863C18" w:rsidRDefault="05863C18" w:rsidP="00380553">
            <w:pPr>
              <w:pStyle w:val="ListParagraph"/>
              <w:numPr>
                <w:ilvl w:val="0"/>
                <w:numId w:val="11"/>
              </w:numPr>
              <w:spacing w:before="60" w:after="60" w:line="259" w:lineRule="auto"/>
              <w:ind w:left="241" w:hanging="241"/>
              <w:rPr>
                <w:rFonts w:ascii="Arial" w:eastAsia="Arial" w:hAnsi="Arial" w:cs="Arial"/>
                <w:sz w:val="18"/>
                <w:szCs w:val="18"/>
              </w:rPr>
            </w:pPr>
            <w:r w:rsidRPr="0D2F6015">
              <w:rPr>
                <w:rFonts w:ascii="Arial" w:hAnsi="Arial" w:cs="Arial"/>
                <w:sz w:val="18"/>
                <w:szCs w:val="18"/>
              </w:rPr>
              <w:t>ISFH, Germany</w:t>
            </w:r>
          </w:p>
          <w:p w14:paraId="1A28BFB9" w14:textId="03D7A2F7" w:rsidR="002D08B2" w:rsidRPr="00E9136D" w:rsidRDefault="05863C18" w:rsidP="00380553">
            <w:pPr>
              <w:pStyle w:val="ListParagraph"/>
              <w:numPr>
                <w:ilvl w:val="0"/>
                <w:numId w:val="11"/>
              </w:numPr>
              <w:spacing w:before="60" w:after="60"/>
              <w:ind w:left="241" w:hanging="241"/>
              <w:rPr>
                <w:rFonts w:ascii="Arial" w:eastAsia="Arial" w:hAnsi="Arial" w:cs="Arial"/>
                <w:color w:val="000000" w:themeColor="text1"/>
                <w:sz w:val="18"/>
                <w:szCs w:val="18"/>
              </w:rPr>
            </w:pPr>
            <w:r w:rsidRPr="0D2F6015">
              <w:rPr>
                <w:rFonts w:ascii="Arial" w:eastAsia="Arial" w:hAnsi="Arial" w:cs="Arial"/>
                <w:color w:val="000000" w:themeColor="text1"/>
                <w:sz w:val="18"/>
                <w:szCs w:val="18"/>
              </w:rPr>
              <w:t>JRC, European Commission</w:t>
            </w:r>
          </w:p>
          <w:p w14:paraId="778F426C" w14:textId="4E144898" w:rsidR="002D08B2" w:rsidRPr="00E9136D" w:rsidRDefault="05863C18" w:rsidP="00380553">
            <w:pPr>
              <w:pStyle w:val="ListParagraph"/>
              <w:numPr>
                <w:ilvl w:val="0"/>
                <w:numId w:val="11"/>
              </w:numPr>
              <w:spacing w:before="60" w:after="60"/>
              <w:ind w:left="241" w:hanging="241"/>
              <w:rPr>
                <w:rFonts w:ascii="Arial" w:eastAsia="Arial" w:hAnsi="Arial" w:cs="Arial"/>
                <w:color w:val="000000" w:themeColor="text1"/>
                <w:sz w:val="18"/>
                <w:szCs w:val="18"/>
              </w:rPr>
            </w:pPr>
            <w:r w:rsidRPr="0D2F6015">
              <w:rPr>
                <w:rFonts w:ascii="Arial" w:eastAsia="Arial" w:hAnsi="Arial" w:cs="Arial"/>
                <w:color w:val="000000" w:themeColor="text1"/>
                <w:sz w:val="18"/>
                <w:szCs w:val="18"/>
              </w:rPr>
              <w:t>SUPSI, Switzerland</w:t>
            </w:r>
          </w:p>
          <w:p w14:paraId="1A2DAF3B" w14:textId="463FBCC7" w:rsidR="002D08B2" w:rsidRPr="00380553" w:rsidRDefault="05863C18" w:rsidP="00380553">
            <w:pPr>
              <w:pStyle w:val="ListParagraph"/>
              <w:numPr>
                <w:ilvl w:val="0"/>
                <w:numId w:val="11"/>
              </w:numPr>
              <w:spacing w:before="60" w:after="60"/>
              <w:ind w:left="245"/>
              <w:rPr>
                <w:rFonts w:ascii="Arial" w:eastAsia="Arial" w:hAnsi="Arial" w:cs="Arial"/>
                <w:color w:val="000000" w:themeColor="text1"/>
                <w:sz w:val="18"/>
                <w:szCs w:val="18"/>
              </w:rPr>
            </w:pPr>
            <w:r w:rsidRPr="00380553">
              <w:rPr>
                <w:rFonts w:ascii="Arial" w:eastAsia="Arial" w:hAnsi="Arial" w:cs="Arial"/>
                <w:color w:val="000000" w:themeColor="text1"/>
                <w:sz w:val="18"/>
                <w:szCs w:val="18"/>
              </w:rPr>
              <w:t>TÜV Rheinland</w:t>
            </w:r>
            <w:r w:rsidR="2E42DCCB" w:rsidRPr="00380553">
              <w:rPr>
                <w:rFonts w:ascii="Arial" w:eastAsia="Arial" w:hAnsi="Arial" w:cs="Arial"/>
                <w:color w:val="000000" w:themeColor="text1"/>
                <w:sz w:val="18"/>
                <w:szCs w:val="18"/>
              </w:rPr>
              <w:t>, Germany</w:t>
            </w:r>
          </w:p>
        </w:tc>
        <w:tc>
          <w:tcPr>
            <w:tcW w:w="3113" w:type="dxa"/>
          </w:tcPr>
          <w:p w14:paraId="042C6C24" w14:textId="77777777" w:rsidR="002D08B2" w:rsidRPr="00E9136D" w:rsidRDefault="002D08B2" w:rsidP="00380553">
            <w:pPr>
              <w:spacing w:before="60" w:after="60"/>
              <w:rPr>
                <w:rFonts w:ascii="Arial" w:hAnsi="Arial" w:cs="Arial"/>
                <w:sz w:val="18"/>
                <w:szCs w:val="18"/>
                <w:lang w:val="en-GB"/>
              </w:rPr>
            </w:pPr>
            <w:r w:rsidRPr="00E9136D">
              <w:rPr>
                <w:rFonts w:ascii="Arial" w:hAnsi="Arial" w:cs="Arial"/>
                <w:sz w:val="18"/>
                <w:szCs w:val="18"/>
                <w:lang w:val="en-GB"/>
              </w:rPr>
              <w:t>Unfunded Partners:</w:t>
            </w:r>
          </w:p>
          <w:p w14:paraId="373D571A" w14:textId="044FB4CB" w:rsidR="002D08B2" w:rsidRPr="00E9136D" w:rsidRDefault="4DA4F59D" w:rsidP="00380553">
            <w:pPr>
              <w:pStyle w:val="ListParagraph"/>
              <w:numPr>
                <w:ilvl w:val="0"/>
                <w:numId w:val="11"/>
              </w:numPr>
              <w:spacing w:before="60" w:after="60"/>
              <w:ind w:left="310" w:hanging="310"/>
              <w:rPr>
                <w:rFonts w:ascii="Arial" w:eastAsia="Arial" w:hAnsi="Arial" w:cs="Arial"/>
                <w:sz w:val="18"/>
                <w:szCs w:val="18"/>
              </w:rPr>
            </w:pPr>
            <w:r w:rsidRPr="0D2F6015">
              <w:rPr>
                <w:rFonts w:ascii="Arial" w:eastAsia="Arial" w:hAnsi="Arial" w:cs="Arial"/>
                <w:color w:val="000000" w:themeColor="text1"/>
                <w:sz w:val="18"/>
                <w:szCs w:val="18"/>
              </w:rPr>
              <w:t>Certisolis, France</w:t>
            </w:r>
          </w:p>
          <w:p w14:paraId="474358DC" w14:textId="6427CD3A" w:rsidR="002D08B2" w:rsidRPr="00E9136D" w:rsidRDefault="72B1BF5D" w:rsidP="00380553">
            <w:pPr>
              <w:pStyle w:val="ListParagraph"/>
              <w:numPr>
                <w:ilvl w:val="0"/>
                <w:numId w:val="11"/>
              </w:numPr>
              <w:spacing w:before="60" w:after="60"/>
              <w:ind w:left="310" w:hanging="310"/>
              <w:rPr>
                <w:rFonts w:ascii="Arial" w:hAnsi="Arial" w:cs="Arial"/>
                <w:sz w:val="18"/>
                <w:szCs w:val="18"/>
              </w:rPr>
            </w:pPr>
            <w:r w:rsidRPr="0D2F6015">
              <w:rPr>
                <w:rFonts w:ascii="Arial" w:hAnsi="Arial" w:cs="Arial"/>
                <w:sz w:val="18"/>
                <w:szCs w:val="18"/>
              </w:rPr>
              <w:t>ITRI, Taiwan</w:t>
            </w:r>
          </w:p>
          <w:p w14:paraId="1F9AD09A" w14:textId="51F71C81" w:rsidR="002D08B2" w:rsidRPr="00E9136D" w:rsidRDefault="002D08B2" w:rsidP="00380553">
            <w:pPr>
              <w:spacing w:before="60" w:after="60"/>
              <w:ind w:hanging="170"/>
              <w:rPr>
                <w:rFonts w:ascii="Arial" w:hAnsi="Arial" w:cs="Arial"/>
                <w:sz w:val="18"/>
                <w:szCs w:val="18"/>
              </w:rPr>
            </w:pPr>
          </w:p>
        </w:tc>
      </w:tr>
      <w:tr w:rsidR="00C06660" w:rsidRPr="009451BD" w14:paraId="2FB6189C" w14:textId="77777777" w:rsidTr="0D2F6015">
        <w:tc>
          <w:tcPr>
            <w:tcW w:w="9493" w:type="dxa"/>
            <w:gridSpan w:val="4"/>
          </w:tcPr>
          <w:p w14:paraId="1A0AE9C0" w14:textId="6F7E9B3E" w:rsidR="00C06660" w:rsidRPr="00E32391" w:rsidRDefault="00C06660" w:rsidP="00380553">
            <w:pPr>
              <w:spacing w:before="60" w:after="60"/>
              <w:rPr>
                <w:rFonts w:ascii="Arial" w:hAnsi="Arial" w:cs="Arial"/>
                <w:sz w:val="18"/>
                <w:lang w:val="en-GB"/>
              </w:rPr>
            </w:pPr>
            <w:r>
              <w:rPr>
                <w:rFonts w:ascii="Arial" w:hAnsi="Arial" w:cs="Arial"/>
                <w:sz w:val="18"/>
                <w:lang w:val="en-GB"/>
              </w:rPr>
              <w:t>RMG</w:t>
            </w:r>
            <w:bookmarkStart w:id="1" w:name="_GoBack"/>
            <w:bookmarkEnd w:id="1"/>
            <w:r>
              <w:rPr>
                <w:rFonts w:ascii="Arial" w:hAnsi="Arial" w:cs="Arial"/>
                <w:sz w:val="18"/>
                <w:lang w:val="en-GB"/>
              </w:rPr>
              <w:t xml:space="preserve">: </w:t>
            </w:r>
            <w:r w:rsidR="00380553" w:rsidRPr="00380553">
              <w:rPr>
                <w:rFonts w:ascii="Arial" w:hAnsi="Arial" w:cs="Arial"/>
                <w:iCs/>
                <w:sz w:val="18"/>
                <w:lang w:val="en-GB"/>
              </w:rPr>
              <w:t>-</w:t>
            </w:r>
          </w:p>
        </w:tc>
      </w:tr>
    </w:tbl>
    <w:p w14:paraId="345A8C75" w14:textId="03724202" w:rsidR="00E83884" w:rsidRPr="008176E6" w:rsidRDefault="00E83884" w:rsidP="0D2F6015">
      <w:pPr>
        <w:pStyle w:val="EMRPbodytext"/>
        <w:rPr>
          <w:rFonts w:eastAsia="SimSun" w:cs="Arial"/>
          <w:b/>
          <w:bCs/>
          <w:i/>
          <w:iCs/>
          <w:lang w:eastAsia="zh-CN"/>
        </w:rPr>
      </w:pPr>
    </w:p>
    <w:p w14:paraId="3BE79546" w14:textId="056E50DF" w:rsidR="00E83884" w:rsidRPr="008176E6" w:rsidRDefault="00E83884" w:rsidP="34B7D642"/>
    <w:p w14:paraId="4A25640E" w14:textId="4649FFF5" w:rsidR="34B7D642" w:rsidRDefault="34B7D642"/>
    <w:p w14:paraId="09673CF7" w14:textId="78C55ADA" w:rsidR="00E83884" w:rsidRPr="008176E6" w:rsidRDefault="00E83884" w:rsidP="0D2F6015">
      <w:pPr>
        <w:pStyle w:val="Header"/>
        <w:tabs>
          <w:tab w:val="clear" w:pos="4536"/>
          <w:tab w:val="clear" w:pos="9072"/>
          <w:tab w:val="left" w:pos="1020"/>
        </w:tabs>
      </w:pPr>
    </w:p>
    <w:sectPr w:rsidR="00E83884" w:rsidRPr="008176E6" w:rsidSect="007B1293">
      <w:headerReference w:type="even" r:id="rId11"/>
      <w:headerReference w:type="default" r:id="rId12"/>
      <w:footerReference w:type="even" r:id="rId13"/>
      <w:footerReference w:type="default" r:id="rId14"/>
      <w:headerReference w:type="first" r:id="rId15"/>
      <w:footerReference w:type="first" r:id="rId16"/>
      <w:pgSz w:w="11906" w:h="16838" w:code="9"/>
      <w:pgMar w:top="2149" w:right="1134" w:bottom="1134" w:left="1134" w:header="851" w:footer="2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03866" w14:textId="77777777" w:rsidR="00FB3E28" w:rsidRDefault="00FB3E28">
      <w:r>
        <w:separator/>
      </w:r>
    </w:p>
  </w:endnote>
  <w:endnote w:type="continuationSeparator" w:id="0">
    <w:p w14:paraId="6B470909" w14:textId="77777777" w:rsidR="00FB3E28" w:rsidRDefault="00FB3E28">
      <w:r>
        <w:continuationSeparator/>
      </w:r>
    </w:p>
  </w:endnote>
  <w:endnote w:type="continuationNotice" w:id="1">
    <w:p w14:paraId="7280AA83" w14:textId="77777777" w:rsidR="00FB3E28" w:rsidRDefault="00FB3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D9B8D" w14:textId="77777777" w:rsidR="005F7BDF" w:rsidRDefault="005F7B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6" w:type="dxa"/>
      <w:tblCellMar>
        <w:left w:w="70" w:type="dxa"/>
        <w:right w:w="70" w:type="dxa"/>
      </w:tblCellMar>
      <w:tblLook w:val="0000" w:firstRow="0" w:lastRow="0" w:firstColumn="0" w:lastColumn="0" w:noHBand="0" w:noVBand="0"/>
    </w:tblPr>
    <w:tblGrid>
      <w:gridCol w:w="4156"/>
      <w:gridCol w:w="1549"/>
      <w:gridCol w:w="3939"/>
    </w:tblGrid>
    <w:tr w:rsidR="00C236DE" w14:paraId="09673D0D" w14:textId="77777777" w:rsidTr="007B1293">
      <w:trPr>
        <w:trHeight w:val="429"/>
      </w:trPr>
      <w:tc>
        <w:tcPr>
          <w:tcW w:w="4187" w:type="dxa"/>
        </w:tcPr>
        <w:p w14:paraId="09673D06" w14:textId="77777777" w:rsidR="00C236DE" w:rsidRDefault="00C236DE">
          <w:pPr>
            <w:pStyle w:val="Footer"/>
            <w:rPr>
              <w:rFonts w:ascii="Arial" w:hAnsi="Arial" w:cs="Arial"/>
              <w:b/>
              <w:color w:val="000000"/>
              <w:sz w:val="14"/>
              <w:szCs w:val="14"/>
            </w:rPr>
          </w:pPr>
        </w:p>
        <w:p w14:paraId="09673D07" w14:textId="77777777" w:rsidR="00C236DE" w:rsidRDefault="00C236DE" w:rsidP="0016333A">
          <w:pPr>
            <w:pStyle w:val="Footer"/>
            <w:rPr>
              <w:rFonts w:ascii="Arial" w:hAnsi="Arial" w:cs="Arial"/>
              <w:sz w:val="14"/>
              <w:szCs w:val="16"/>
            </w:rPr>
          </w:pPr>
        </w:p>
      </w:tc>
      <w:tc>
        <w:tcPr>
          <w:tcW w:w="1559" w:type="dxa"/>
        </w:tcPr>
        <w:p w14:paraId="09673D08" w14:textId="77777777" w:rsidR="00C236DE" w:rsidRDefault="00C236DE">
          <w:pPr>
            <w:rPr>
              <w:rFonts w:ascii="Arial" w:hAnsi="Arial" w:cs="Arial"/>
              <w:snapToGrid w:val="0"/>
              <w:sz w:val="14"/>
              <w:szCs w:val="10"/>
              <w:lang w:val="en-GB"/>
            </w:rPr>
          </w:pPr>
        </w:p>
        <w:p w14:paraId="09673D09" w14:textId="57D9E7B3" w:rsidR="00C236DE" w:rsidRDefault="00C236DE">
          <w:pPr>
            <w:jc w:val="center"/>
            <w:rPr>
              <w:rFonts w:ascii="Arial" w:hAnsi="Arial" w:cs="Arial"/>
              <w:b/>
              <w:sz w:val="14"/>
              <w:lang w:val="en-GB"/>
            </w:rPr>
          </w:pPr>
          <w:r w:rsidRPr="0043629D">
            <w:rPr>
              <w:rStyle w:val="PageNumber"/>
              <w:rFonts w:ascii="Arial" w:hAnsi="Arial" w:cs="Arial"/>
            </w:rPr>
            <w:fldChar w:fldCharType="begin"/>
          </w:r>
          <w:r w:rsidRPr="0043629D">
            <w:rPr>
              <w:rStyle w:val="PageNumber"/>
              <w:rFonts w:ascii="Arial" w:hAnsi="Arial" w:cs="Arial"/>
            </w:rPr>
            <w:instrText xml:space="preserve"> PAGE </w:instrText>
          </w:r>
          <w:r w:rsidRPr="0043629D">
            <w:rPr>
              <w:rStyle w:val="PageNumber"/>
              <w:rFonts w:ascii="Arial" w:hAnsi="Arial" w:cs="Arial"/>
            </w:rPr>
            <w:fldChar w:fldCharType="separate"/>
          </w:r>
          <w:r w:rsidR="00E65F06">
            <w:rPr>
              <w:rStyle w:val="PageNumber"/>
              <w:rFonts w:ascii="Arial" w:hAnsi="Arial" w:cs="Arial"/>
              <w:noProof/>
            </w:rPr>
            <w:t>3</w:t>
          </w:r>
          <w:r w:rsidRPr="0043629D">
            <w:rPr>
              <w:rStyle w:val="PageNumber"/>
              <w:rFonts w:ascii="Arial" w:hAnsi="Arial" w:cs="Arial"/>
            </w:rPr>
            <w:fldChar w:fldCharType="end"/>
          </w:r>
          <w:r w:rsidRPr="0043629D">
            <w:rPr>
              <w:rStyle w:val="PageNumber"/>
              <w:rFonts w:ascii="Arial" w:hAnsi="Arial" w:cs="Arial"/>
            </w:rPr>
            <w:t>/</w:t>
          </w:r>
          <w:r w:rsidRPr="0043629D">
            <w:rPr>
              <w:rStyle w:val="PageNumber"/>
              <w:rFonts w:ascii="Arial" w:hAnsi="Arial" w:cs="Arial"/>
            </w:rPr>
            <w:fldChar w:fldCharType="begin"/>
          </w:r>
          <w:r w:rsidRPr="0043629D">
            <w:rPr>
              <w:rStyle w:val="PageNumber"/>
              <w:rFonts w:ascii="Arial" w:hAnsi="Arial" w:cs="Arial"/>
            </w:rPr>
            <w:instrText xml:space="preserve"> NUMPAGES </w:instrText>
          </w:r>
          <w:r w:rsidRPr="0043629D">
            <w:rPr>
              <w:rStyle w:val="PageNumber"/>
              <w:rFonts w:ascii="Arial" w:hAnsi="Arial" w:cs="Arial"/>
            </w:rPr>
            <w:fldChar w:fldCharType="separate"/>
          </w:r>
          <w:r w:rsidR="00E65F06">
            <w:rPr>
              <w:rStyle w:val="PageNumber"/>
              <w:rFonts w:ascii="Arial" w:hAnsi="Arial" w:cs="Arial"/>
              <w:noProof/>
            </w:rPr>
            <w:t>3</w:t>
          </w:r>
          <w:r w:rsidRPr="0043629D">
            <w:rPr>
              <w:rStyle w:val="PageNumber"/>
              <w:rFonts w:ascii="Arial" w:hAnsi="Arial" w:cs="Arial"/>
            </w:rPr>
            <w:fldChar w:fldCharType="end"/>
          </w:r>
        </w:p>
      </w:tc>
      <w:tc>
        <w:tcPr>
          <w:tcW w:w="3969" w:type="dxa"/>
        </w:tcPr>
        <w:p w14:paraId="09673D0A" w14:textId="77777777" w:rsidR="00C236DE" w:rsidRDefault="00C236DE">
          <w:pPr>
            <w:pStyle w:val="Footer"/>
            <w:jc w:val="right"/>
            <w:rPr>
              <w:rFonts w:ascii="Arial" w:hAnsi="Arial" w:cs="Arial"/>
              <w:sz w:val="14"/>
            </w:rPr>
          </w:pPr>
        </w:p>
        <w:p w14:paraId="09673D0B" w14:textId="77777777" w:rsidR="00C236DE" w:rsidRDefault="00C236DE">
          <w:pPr>
            <w:pStyle w:val="Footer"/>
            <w:jc w:val="right"/>
            <w:rPr>
              <w:rFonts w:ascii="Arial" w:hAnsi="Arial" w:cs="Arial"/>
              <w:sz w:val="14"/>
            </w:rPr>
          </w:pPr>
        </w:p>
        <w:p w14:paraId="09673D0C" w14:textId="77777777" w:rsidR="00C236DE" w:rsidRDefault="00C236DE">
          <w:pPr>
            <w:rPr>
              <w:snapToGrid w:val="0"/>
              <w:lang w:val="en-GB"/>
            </w:rPr>
          </w:pPr>
        </w:p>
      </w:tc>
    </w:tr>
  </w:tbl>
  <w:p w14:paraId="09673D0E" w14:textId="77777777" w:rsidR="00C236DE" w:rsidRDefault="00C236DE">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40" w:type="dxa"/>
      <w:tblInd w:w="-1631" w:type="dxa"/>
      <w:tblCellMar>
        <w:left w:w="70" w:type="dxa"/>
        <w:right w:w="70" w:type="dxa"/>
      </w:tblCellMar>
      <w:tblLook w:val="0000" w:firstRow="0" w:lastRow="0" w:firstColumn="0" w:lastColumn="0" w:noHBand="0" w:noVBand="0"/>
    </w:tblPr>
    <w:tblGrid>
      <w:gridCol w:w="1543"/>
      <w:gridCol w:w="2852"/>
      <w:gridCol w:w="3129"/>
      <w:gridCol w:w="3781"/>
      <w:gridCol w:w="35"/>
    </w:tblGrid>
    <w:tr w:rsidR="00C236DE" w14:paraId="09673D1F" w14:textId="77777777" w:rsidTr="34B7D642">
      <w:trPr>
        <w:cantSplit/>
        <w:trHeight w:val="283"/>
      </w:trPr>
      <w:tc>
        <w:tcPr>
          <w:tcW w:w="11340" w:type="dxa"/>
          <w:gridSpan w:val="5"/>
        </w:tcPr>
        <w:p w14:paraId="09673D1D" w14:textId="77777777" w:rsidR="00C236DE" w:rsidRDefault="00C236DE" w:rsidP="000E545F">
          <w:pPr>
            <w:pStyle w:val="BalloonText"/>
            <w:pBdr>
              <w:bottom w:val="single" w:sz="4" w:space="1" w:color="auto"/>
            </w:pBdr>
            <w:rPr>
              <w:rFonts w:ascii="Arial" w:hAnsi="Arial" w:cs="Times New Roman"/>
              <w:szCs w:val="20"/>
              <w:lang w:val="en-GB"/>
            </w:rPr>
          </w:pPr>
        </w:p>
        <w:p w14:paraId="09673D1E" w14:textId="77777777" w:rsidR="00C236DE" w:rsidRDefault="00C236DE" w:rsidP="000E545F">
          <w:pPr>
            <w:tabs>
              <w:tab w:val="left" w:pos="3899"/>
            </w:tabs>
            <w:ind w:left="1631"/>
            <w:rPr>
              <w:rFonts w:cs="Arial"/>
              <w:color w:val="006662"/>
              <w:sz w:val="14"/>
              <w:szCs w:val="14"/>
              <w:lang w:val="en-GB"/>
            </w:rPr>
          </w:pPr>
        </w:p>
      </w:tc>
    </w:tr>
    <w:tr w:rsidR="00C236DE" w14:paraId="09673D2D" w14:textId="77777777" w:rsidTr="34B7D642">
      <w:trPr>
        <w:gridAfter w:val="1"/>
        <w:wAfter w:w="35" w:type="dxa"/>
        <w:cantSplit/>
        <w:trHeight w:val="860"/>
      </w:trPr>
      <w:tc>
        <w:tcPr>
          <w:tcW w:w="1543" w:type="dxa"/>
        </w:tcPr>
        <w:p w14:paraId="09673D20" w14:textId="77777777" w:rsidR="00C236DE" w:rsidRDefault="00C236DE" w:rsidP="000E545F">
          <w:pPr>
            <w:pStyle w:val="Footer"/>
            <w:spacing w:before="80"/>
            <w:ind w:firstLine="74"/>
            <w:rPr>
              <w:rFonts w:cs="Arial"/>
              <w:b/>
              <w:noProof/>
              <w:color w:val="00285B"/>
              <w:sz w:val="14"/>
              <w:szCs w:val="14"/>
              <w:lang w:val="en-GB"/>
            </w:rPr>
          </w:pPr>
        </w:p>
      </w:tc>
      <w:tc>
        <w:tcPr>
          <w:tcW w:w="2852" w:type="dxa"/>
        </w:tcPr>
        <w:p w14:paraId="09673D21" w14:textId="7E721B32" w:rsidR="00C236DE" w:rsidRDefault="00C236DE" w:rsidP="000E545F">
          <w:pPr>
            <w:tabs>
              <w:tab w:val="left" w:pos="3899"/>
            </w:tabs>
            <w:rPr>
              <w:rFonts w:ascii="Arial" w:hAnsi="Arial"/>
              <w:sz w:val="22"/>
              <w:lang w:val="en-GB"/>
            </w:rPr>
          </w:pPr>
          <w:r>
            <w:rPr>
              <w:rFonts w:ascii="Arial" w:hAnsi="Arial"/>
              <w:b/>
              <w:bCs/>
              <w:sz w:val="22"/>
              <w:lang w:val="en-GB"/>
            </w:rPr>
            <w:t xml:space="preserve">Report Status: PU </w:t>
          </w:r>
          <w:r>
            <w:rPr>
              <w:rFonts w:ascii="Arial" w:hAnsi="Arial"/>
              <w:sz w:val="22"/>
              <w:lang w:val="en-GB"/>
            </w:rPr>
            <w:t>Public</w:t>
          </w:r>
        </w:p>
        <w:p w14:paraId="09673D22" w14:textId="77777777" w:rsidR="00C236DE" w:rsidRDefault="00C236DE" w:rsidP="000E545F">
          <w:pPr>
            <w:pStyle w:val="Footer"/>
            <w:rPr>
              <w:rFonts w:ascii="Arial" w:hAnsi="Arial" w:cs="Arial"/>
              <w:b/>
              <w:color w:val="000000"/>
              <w:sz w:val="14"/>
              <w:szCs w:val="14"/>
              <w:lang w:val="en-GB"/>
            </w:rPr>
          </w:pPr>
        </w:p>
        <w:p w14:paraId="09673D23" w14:textId="77777777" w:rsidR="00C236DE" w:rsidRDefault="00C236DE" w:rsidP="000E545F">
          <w:pPr>
            <w:pStyle w:val="Footer"/>
            <w:rPr>
              <w:rFonts w:ascii="Arial" w:hAnsi="Arial" w:cs="Arial"/>
              <w:b/>
              <w:color w:val="000000"/>
              <w:sz w:val="14"/>
              <w:szCs w:val="14"/>
              <w:lang w:val="en-GB"/>
            </w:rPr>
          </w:pPr>
        </w:p>
        <w:p w14:paraId="09673D24" w14:textId="3F455619" w:rsidR="00C236DE" w:rsidRDefault="00C236DE" w:rsidP="000E545F">
          <w:pPr>
            <w:pStyle w:val="Footer"/>
            <w:rPr>
              <w:rFonts w:ascii="Arial" w:hAnsi="Arial" w:cs="Arial"/>
              <w:b/>
              <w:color w:val="000000"/>
              <w:sz w:val="14"/>
              <w:szCs w:val="14"/>
              <w:lang w:val="en-GB"/>
            </w:rPr>
          </w:pPr>
          <w:r>
            <w:rPr>
              <w:rFonts w:ascii="Arial" w:hAnsi="Arial" w:cs="Arial"/>
              <w:b/>
              <w:color w:val="000000"/>
              <w:sz w:val="14"/>
              <w:szCs w:val="14"/>
              <w:lang w:val="en-GB"/>
            </w:rPr>
            <w:t xml:space="preserve">Publishable Summary </w:t>
          </w:r>
        </w:p>
        <w:p w14:paraId="09673D25" w14:textId="77777777" w:rsidR="00C236DE" w:rsidRDefault="00C236DE" w:rsidP="000E545F">
          <w:pPr>
            <w:pStyle w:val="Footer"/>
            <w:rPr>
              <w:rFonts w:ascii="Arial" w:hAnsi="Arial" w:cs="Arial"/>
              <w:b/>
              <w:color w:val="000000"/>
              <w:sz w:val="14"/>
              <w:szCs w:val="14"/>
              <w:lang w:val="en-GB"/>
            </w:rPr>
          </w:pPr>
        </w:p>
        <w:p w14:paraId="09673D26" w14:textId="1C5642DE" w:rsidR="00C236DE" w:rsidRPr="00AC23AD" w:rsidRDefault="00C236DE" w:rsidP="000E545F">
          <w:pPr>
            <w:pStyle w:val="Footer"/>
            <w:rPr>
              <w:rFonts w:ascii="Arial" w:hAnsi="Arial" w:cs="Arial"/>
              <w:sz w:val="14"/>
              <w:szCs w:val="16"/>
              <w:lang w:val="en-GB"/>
            </w:rPr>
          </w:pPr>
          <w:r>
            <w:rPr>
              <w:rFonts w:ascii="Arial" w:hAnsi="Arial" w:cs="Arial"/>
              <w:color w:val="000000"/>
              <w:sz w:val="14"/>
              <w:lang w:val="en-GB"/>
            </w:rPr>
            <w:t xml:space="preserve">Issued: </w:t>
          </w:r>
          <w:r w:rsidR="00C3026A">
            <w:rPr>
              <w:rFonts w:ascii="Arial" w:hAnsi="Arial" w:cs="Arial"/>
              <w:color w:val="000000"/>
              <w:sz w:val="14"/>
              <w:lang w:val="en-GB"/>
            </w:rPr>
            <w:t>October 2020</w:t>
          </w:r>
        </w:p>
      </w:tc>
      <w:tc>
        <w:tcPr>
          <w:tcW w:w="3129" w:type="dxa"/>
        </w:tcPr>
        <w:p w14:paraId="09673D27" w14:textId="77777777" w:rsidR="00C236DE" w:rsidRPr="0043629D" w:rsidRDefault="00C236DE" w:rsidP="000E545F">
          <w:pPr>
            <w:pStyle w:val="Footer"/>
            <w:jc w:val="center"/>
            <w:rPr>
              <w:rFonts w:ascii="Arial" w:hAnsi="Arial" w:cs="Arial"/>
              <w:i/>
              <w:sz w:val="14"/>
              <w:szCs w:val="14"/>
              <w:lang w:val="en-GB"/>
            </w:rPr>
          </w:pPr>
          <w:r w:rsidRPr="0043629D">
            <w:rPr>
              <w:rFonts w:ascii="Arial" w:hAnsi="Arial" w:cs="Arial"/>
              <w:i/>
              <w:sz w:val="14"/>
              <w:szCs w:val="14"/>
              <w:lang w:val="en-GB"/>
            </w:rPr>
            <w:t>This publication reflects only the author’s view and the Commission is not responsible for any use that may be made of the information it contains.</w:t>
          </w:r>
        </w:p>
      </w:tc>
      <w:tc>
        <w:tcPr>
          <w:tcW w:w="3781" w:type="dxa"/>
        </w:tcPr>
        <w:p w14:paraId="09673D2B" w14:textId="00CE5238" w:rsidR="00C236DE" w:rsidRDefault="34B7D642" w:rsidP="00E03506">
          <w:pPr>
            <w:pStyle w:val="Footer"/>
            <w:jc w:val="right"/>
            <w:rPr>
              <w:rFonts w:ascii="Arial" w:hAnsi="Arial" w:cs="Arial"/>
              <w:b/>
              <w:noProof/>
              <w:sz w:val="24"/>
              <w:szCs w:val="24"/>
              <w:lang w:val="en-GB" w:eastAsia="en-GB"/>
            </w:rPr>
          </w:pPr>
          <w:r>
            <w:rPr>
              <w:noProof/>
            </w:rPr>
            <w:drawing>
              <wp:inline distT="0" distB="0" distL="0" distR="0" wp14:anchorId="0634E3EC" wp14:editId="4958176C">
                <wp:extent cx="2312192" cy="497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312192" cy="497132"/>
                        </a:xfrm>
                        <a:prstGeom prst="rect">
                          <a:avLst/>
                        </a:prstGeom>
                      </pic:spPr>
                    </pic:pic>
                  </a:graphicData>
                </a:graphic>
              </wp:inline>
            </w:drawing>
          </w:r>
        </w:p>
        <w:p w14:paraId="09673D2C" w14:textId="77777777" w:rsidR="00C236DE" w:rsidRDefault="00C236DE" w:rsidP="000E545F">
          <w:pPr>
            <w:pStyle w:val="Footer"/>
            <w:rPr>
              <w:rFonts w:cs="Arial"/>
              <w:color w:val="006662"/>
              <w:sz w:val="14"/>
              <w:szCs w:val="14"/>
              <w:lang w:val="en-GB"/>
            </w:rPr>
          </w:pPr>
        </w:p>
      </w:tc>
    </w:tr>
  </w:tbl>
  <w:p w14:paraId="0F2FEF11" w14:textId="77777777" w:rsidR="00C236DE" w:rsidRPr="00CB2687" w:rsidRDefault="00C236DE">
    <w:pPr>
      <w:rPr>
        <w:sz w:val="2"/>
        <w:szCs w:val="2"/>
      </w:rPr>
    </w:pPr>
  </w:p>
  <w:tbl>
    <w:tblPr>
      <w:tblW w:w="12428" w:type="dxa"/>
      <w:tblInd w:w="-1631" w:type="dxa"/>
      <w:tblCellMar>
        <w:left w:w="70" w:type="dxa"/>
        <w:right w:w="70" w:type="dxa"/>
      </w:tblCellMar>
      <w:tblLook w:val="0000" w:firstRow="0" w:lastRow="0" w:firstColumn="0" w:lastColumn="0" w:noHBand="0" w:noVBand="0"/>
    </w:tblPr>
    <w:tblGrid>
      <w:gridCol w:w="1543"/>
      <w:gridCol w:w="2852"/>
      <w:gridCol w:w="4252"/>
      <w:gridCol w:w="3781"/>
    </w:tblGrid>
    <w:tr w:rsidR="00C236DE" w14:paraId="09673D32" w14:textId="77777777" w:rsidTr="00CB2687">
      <w:trPr>
        <w:cantSplit/>
        <w:trHeight w:val="325"/>
      </w:trPr>
      <w:tc>
        <w:tcPr>
          <w:tcW w:w="1543" w:type="dxa"/>
        </w:tcPr>
        <w:p w14:paraId="09673D2E" w14:textId="77777777" w:rsidR="00C236DE" w:rsidRDefault="00C236DE" w:rsidP="000E545F">
          <w:pPr>
            <w:pStyle w:val="Footer"/>
            <w:spacing w:before="80"/>
            <w:ind w:firstLine="74"/>
            <w:rPr>
              <w:rFonts w:cs="Arial"/>
              <w:b/>
              <w:noProof/>
              <w:color w:val="00285B"/>
              <w:sz w:val="14"/>
              <w:szCs w:val="14"/>
              <w:lang w:val="en-GB"/>
            </w:rPr>
          </w:pPr>
        </w:p>
      </w:tc>
      <w:tc>
        <w:tcPr>
          <w:tcW w:w="2852" w:type="dxa"/>
        </w:tcPr>
        <w:p w14:paraId="09673D2F" w14:textId="77777777" w:rsidR="00C236DE" w:rsidRDefault="00C236DE" w:rsidP="000E545F">
          <w:pPr>
            <w:tabs>
              <w:tab w:val="left" w:pos="3899"/>
            </w:tabs>
            <w:rPr>
              <w:rFonts w:ascii="Arial" w:hAnsi="Arial"/>
              <w:b/>
              <w:bCs/>
              <w:sz w:val="22"/>
              <w:lang w:val="en-GB"/>
            </w:rPr>
          </w:pPr>
        </w:p>
      </w:tc>
      <w:tc>
        <w:tcPr>
          <w:tcW w:w="4252" w:type="dxa"/>
          <w:vAlign w:val="bottom"/>
        </w:tcPr>
        <w:p w14:paraId="09673D30" w14:textId="45591AFD" w:rsidR="00C236DE" w:rsidRPr="0043629D" w:rsidRDefault="00C236DE" w:rsidP="000E545F">
          <w:pPr>
            <w:pStyle w:val="Footer"/>
            <w:jc w:val="center"/>
            <w:rPr>
              <w:rStyle w:val="PageNumber"/>
              <w:rFonts w:ascii="Arial" w:hAnsi="Arial" w:cs="Arial"/>
            </w:rPr>
          </w:pPr>
          <w:r w:rsidRPr="0043629D">
            <w:rPr>
              <w:rStyle w:val="PageNumber"/>
              <w:rFonts w:ascii="Arial" w:hAnsi="Arial" w:cs="Arial"/>
            </w:rPr>
            <w:fldChar w:fldCharType="begin"/>
          </w:r>
          <w:r w:rsidRPr="0043629D">
            <w:rPr>
              <w:rStyle w:val="PageNumber"/>
              <w:rFonts w:ascii="Arial" w:hAnsi="Arial" w:cs="Arial"/>
            </w:rPr>
            <w:instrText xml:space="preserve"> PAGE </w:instrText>
          </w:r>
          <w:r w:rsidRPr="0043629D">
            <w:rPr>
              <w:rStyle w:val="PageNumber"/>
              <w:rFonts w:ascii="Arial" w:hAnsi="Arial" w:cs="Arial"/>
            </w:rPr>
            <w:fldChar w:fldCharType="separate"/>
          </w:r>
          <w:r w:rsidR="009938C7">
            <w:rPr>
              <w:rStyle w:val="PageNumber"/>
              <w:rFonts w:ascii="Arial" w:hAnsi="Arial" w:cs="Arial"/>
              <w:noProof/>
            </w:rPr>
            <w:t>1</w:t>
          </w:r>
          <w:r w:rsidRPr="0043629D">
            <w:rPr>
              <w:rStyle w:val="PageNumber"/>
              <w:rFonts w:ascii="Arial" w:hAnsi="Arial" w:cs="Arial"/>
            </w:rPr>
            <w:fldChar w:fldCharType="end"/>
          </w:r>
          <w:r w:rsidRPr="0043629D">
            <w:rPr>
              <w:rStyle w:val="PageNumber"/>
              <w:rFonts w:ascii="Arial" w:hAnsi="Arial" w:cs="Arial"/>
            </w:rPr>
            <w:t>/</w:t>
          </w:r>
          <w:r w:rsidRPr="0043629D">
            <w:rPr>
              <w:rStyle w:val="PageNumber"/>
              <w:rFonts w:ascii="Arial" w:hAnsi="Arial" w:cs="Arial"/>
            </w:rPr>
            <w:fldChar w:fldCharType="begin"/>
          </w:r>
          <w:r w:rsidRPr="0043629D">
            <w:rPr>
              <w:rStyle w:val="PageNumber"/>
              <w:rFonts w:ascii="Arial" w:hAnsi="Arial" w:cs="Arial"/>
            </w:rPr>
            <w:instrText xml:space="preserve"> NUMPAGES </w:instrText>
          </w:r>
          <w:r w:rsidRPr="0043629D">
            <w:rPr>
              <w:rStyle w:val="PageNumber"/>
              <w:rFonts w:ascii="Arial" w:hAnsi="Arial" w:cs="Arial"/>
            </w:rPr>
            <w:fldChar w:fldCharType="separate"/>
          </w:r>
          <w:r w:rsidR="009938C7">
            <w:rPr>
              <w:rStyle w:val="PageNumber"/>
              <w:rFonts w:ascii="Arial" w:hAnsi="Arial" w:cs="Arial"/>
              <w:noProof/>
            </w:rPr>
            <w:t>3</w:t>
          </w:r>
          <w:r w:rsidRPr="0043629D">
            <w:rPr>
              <w:rStyle w:val="PageNumber"/>
              <w:rFonts w:ascii="Arial" w:hAnsi="Arial" w:cs="Arial"/>
            </w:rPr>
            <w:fldChar w:fldCharType="end"/>
          </w:r>
        </w:p>
      </w:tc>
      <w:tc>
        <w:tcPr>
          <w:tcW w:w="3781" w:type="dxa"/>
        </w:tcPr>
        <w:p w14:paraId="09673D31" w14:textId="77777777" w:rsidR="00C236DE" w:rsidRDefault="00C236DE" w:rsidP="000E545F">
          <w:pPr>
            <w:pStyle w:val="Footer"/>
            <w:rPr>
              <w:rFonts w:ascii="Arial" w:hAnsi="Arial" w:cs="Arial"/>
              <w:b/>
              <w:noProof/>
              <w:sz w:val="24"/>
              <w:szCs w:val="24"/>
              <w:lang w:val="en-GB" w:eastAsia="en-GB"/>
            </w:rPr>
          </w:pPr>
        </w:p>
      </w:tc>
    </w:tr>
  </w:tbl>
  <w:p w14:paraId="09673D33" w14:textId="77777777" w:rsidR="00C236DE" w:rsidRDefault="00C23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826B4" w14:textId="77777777" w:rsidR="00FB3E28" w:rsidRDefault="00FB3E28">
      <w:r>
        <w:separator/>
      </w:r>
    </w:p>
  </w:footnote>
  <w:footnote w:type="continuationSeparator" w:id="0">
    <w:p w14:paraId="2F908CB4" w14:textId="77777777" w:rsidR="00FB3E28" w:rsidRDefault="00FB3E28">
      <w:r>
        <w:continuationSeparator/>
      </w:r>
    </w:p>
  </w:footnote>
  <w:footnote w:type="continuationNotice" w:id="1">
    <w:p w14:paraId="62A87F69" w14:textId="77777777" w:rsidR="00FB3E28" w:rsidRDefault="00FB3E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F4F7F" w14:textId="77777777" w:rsidR="005F7BDF" w:rsidRDefault="005F7B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000" w:firstRow="0" w:lastRow="0" w:firstColumn="0" w:lastColumn="0" w:noHBand="0" w:noVBand="0"/>
    </w:tblPr>
    <w:tblGrid>
      <w:gridCol w:w="5353"/>
      <w:gridCol w:w="4394"/>
    </w:tblGrid>
    <w:tr w:rsidR="00C236DE" w14:paraId="09673D03" w14:textId="77777777" w:rsidTr="0D2F6015">
      <w:trPr>
        <w:trHeight w:val="1419"/>
      </w:trPr>
      <w:tc>
        <w:tcPr>
          <w:tcW w:w="5353" w:type="dxa"/>
        </w:tcPr>
        <w:p w14:paraId="09673CFF" w14:textId="5A032665" w:rsidR="00C236DE" w:rsidRDefault="0D2F6015" w:rsidP="0D2F6015">
          <w:pPr>
            <w:pStyle w:val="Header"/>
            <w:tabs>
              <w:tab w:val="clear" w:pos="4536"/>
              <w:tab w:val="left" w:pos="465"/>
              <w:tab w:val="center" w:pos="4962"/>
              <w:tab w:val="right" w:pos="9638"/>
            </w:tabs>
            <w:ind w:left="-113" w:right="-251"/>
            <w:rPr>
              <w:rFonts w:ascii="Arial" w:hAnsi="Arial" w:cs="Arial"/>
              <w:b/>
              <w:bCs/>
              <w:sz w:val="24"/>
              <w:szCs w:val="24"/>
              <w:lang w:val="en-GB"/>
            </w:rPr>
          </w:pPr>
          <w:r w:rsidRPr="0D2F6015">
            <w:rPr>
              <w:rFonts w:ascii="Arial" w:hAnsi="Arial" w:cs="Arial"/>
              <w:b/>
              <w:bCs/>
              <w:sz w:val="24"/>
              <w:szCs w:val="24"/>
              <w:lang w:val="en-GB"/>
            </w:rPr>
            <w:t>19ENG01 Metro-PV</w:t>
          </w:r>
        </w:p>
        <w:p w14:paraId="09673D00" w14:textId="77777777" w:rsidR="00C236DE" w:rsidRDefault="00C236DE" w:rsidP="00E84BC8">
          <w:pPr>
            <w:pStyle w:val="Header"/>
            <w:tabs>
              <w:tab w:val="clear" w:pos="4536"/>
              <w:tab w:val="left" w:pos="465"/>
              <w:tab w:val="center" w:pos="4962"/>
              <w:tab w:val="right" w:pos="9638"/>
            </w:tabs>
            <w:ind w:left="-113" w:right="-251"/>
            <w:rPr>
              <w:rFonts w:ascii="Arial" w:hAnsi="Arial" w:cs="Arial"/>
              <w:b/>
              <w:sz w:val="24"/>
              <w:szCs w:val="24"/>
              <w:lang w:val="en-GB"/>
            </w:rPr>
          </w:pPr>
        </w:p>
        <w:p w14:paraId="09673D01" w14:textId="77777777" w:rsidR="00C236DE" w:rsidRPr="00A7566B" w:rsidRDefault="00C236DE" w:rsidP="00E84BC8">
          <w:pPr>
            <w:pStyle w:val="Header"/>
            <w:tabs>
              <w:tab w:val="clear" w:pos="4536"/>
              <w:tab w:val="left" w:pos="465"/>
              <w:tab w:val="center" w:pos="4962"/>
              <w:tab w:val="right" w:pos="9638"/>
            </w:tabs>
            <w:ind w:left="-113" w:right="-251"/>
            <w:rPr>
              <w:rFonts w:ascii="Arial" w:hAnsi="Arial" w:cs="Arial"/>
              <w:b/>
              <w:lang w:val="en-GB"/>
            </w:rPr>
          </w:pPr>
        </w:p>
      </w:tc>
      <w:tc>
        <w:tcPr>
          <w:tcW w:w="4394" w:type="dxa"/>
        </w:tcPr>
        <w:p w14:paraId="09673D02" w14:textId="4DEE81FE" w:rsidR="00C236DE" w:rsidRDefault="34B7D642">
          <w:pPr>
            <w:pStyle w:val="Header"/>
            <w:tabs>
              <w:tab w:val="left" w:pos="465"/>
              <w:tab w:val="right" w:pos="9638"/>
            </w:tabs>
            <w:jc w:val="right"/>
            <w:rPr>
              <w:rFonts w:ascii="Arial" w:hAnsi="Arial" w:cs="Arial"/>
              <w:b/>
              <w:lang w:val="en-GB"/>
            </w:rPr>
          </w:pPr>
          <w:r>
            <w:rPr>
              <w:noProof/>
            </w:rPr>
            <w:drawing>
              <wp:inline distT="0" distB="0" distL="0" distR="0" wp14:anchorId="51FDCEE7" wp14:editId="3AE34678">
                <wp:extent cx="1383258" cy="7143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383258" cy="714375"/>
                        </a:xfrm>
                        <a:prstGeom prst="rect">
                          <a:avLst/>
                        </a:prstGeom>
                      </pic:spPr>
                    </pic:pic>
                  </a:graphicData>
                </a:graphic>
              </wp:inline>
            </w:drawing>
          </w:r>
        </w:p>
      </w:tc>
    </w:tr>
  </w:tbl>
  <w:p w14:paraId="09673D04" w14:textId="77777777" w:rsidR="00C236DE" w:rsidRPr="00B66FC4" w:rsidRDefault="00C236DE">
    <w:pPr>
      <w:pStyle w:val="Header"/>
      <w:tabs>
        <w:tab w:val="left" w:pos="465"/>
        <w:tab w:val="right" w:pos="9638"/>
      </w:tabs>
      <w:rPr>
        <w:rFonts w:ascii="Arial" w:hAnsi="Arial" w:cs="Arial"/>
        <w:b/>
        <w:sz w:val="2"/>
        <w:szCs w:val="2"/>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ayout w:type="fixed"/>
      <w:tblLook w:val="01E0" w:firstRow="1" w:lastRow="1" w:firstColumn="1" w:lastColumn="1" w:noHBand="0" w:noVBand="0"/>
    </w:tblPr>
    <w:tblGrid>
      <w:gridCol w:w="6062"/>
      <w:gridCol w:w="3685"/>
    </w:tblGrid>
    <w:tr w:rsidR="00C236DE" w14:paraId="09673D11" w14:textId="77777777" w:rsidTr="0D2F6015">
      <w:trPr>
        <w:cantSplit/>
        <w:trHeight w:hRule="exact" w:val="282"/>
      </w:trPr>
      <w:tc>
        <w:tcPr>
          <w:tcW w:w="6062" w:type="dxa"/>
        </w:tcPr>
        <w:p w14:paraId="09673D0F" w14:textId="51F78B74" w:rsidR="00C236DE" w:rsidRDefault="0D2F6015" w:rsidP="0D2F6015">
          <w:pPr>
            <w:pStyle w:val="Header"/>
            <w:ind w:left="-113"/>
            <w:rPr>
              <w:rFonts w:ascii="Arial" w:hAnsi="Arial" w:cs="Arial"/>
              <w:b/>
              <w:bCs/>
              <w:sz w:val="24"/>
              <w:szCs w:val="24"/>
              <w:lang w:val="en-GB"/>
            </w:rPr>
          </w:pPr>
          <w:r w:rsidRPr="0D2F6015">
            <w:rPr>
              <w:rFonts w:ascii="Arial" w:hAnsi="Arial" w:cs="Arial"/>
              <w:b/>
              <w:bCs/>
              <w:sz w:val="24"/>
              <w:szCs w:val="24"/>
              <w:lang w:val="en-GB"/>
            </w:rPr>
            <w:t>19ENG01</w:t>
          </w:r>
          <w:r w:rsidR="00E57C7B">
            <w:rPr>
              <w:rFonts w:ascii="Arial" w:hAnsi="Arial" w:cs="Arial"/>
              <w:b/>
              <w:bCs/>
              <w:sz w:val="24"/>
              <w:szCs w:val="24"/>
              <w:lang w:val="en-GB"/>
            </w:rPr>
            <w:t xml:space="preserve"> </w:t>
          </w:r>
          <w:r w:rsidRPr="0D2F6015">
            <w:rPr>
              <w:rFonts w:ascii="Arial" w:hAnsi="Arial" w:cs="Arial"/>
              <w:b/>
              <w:bCs/>
              <w:sz w:val="24"/>
              <w:szCs w:val="24"/>
              <w:lang w:val="en-GB"/>
            </w:rPr>
            <w:t>Metro-PV</w:t>
          </w:r>
        </w:p>
      </w:tc>
      <w:tc>
        <w:tcPr>
          <w:tcW w:w="3685" w:type="dxa"/>
          <w:vMerge w:val="restart"/>
          <w:tcMar>
            <w:left w:w="0" w:type="dxa"/>
            <w:right w:w="0" w:type="dxa"/>
          </w:tcMar>
        </w:tcPr>
        <w:p w14:paraId="09673D10" w14:textId="269E962B" w:rsidR="00C236DE" w:rsidRDefault="34B7D642">
          <w:pPr>
            <w:pStyle w:val="Header"/>
            <w:jc w:val="right"/>
            <w:rPr>
              <w:rFonts w:ascii="Arial" w:hAnsi="Arial" w:cs="Arial"/>
              <w:b/>
              <w:sz w:val="24"/>
              <w:szCs w:val="24"/>
              <w:lang w:val="en-GB"/>
            </w:rPr>
          </w:pPr>
          <w:r>
            <w:rPr>
              <w:noProof/>
            </w:rPr>
            <w:drawing>
              <wp:inline distT="0" distB="0" distL="0" distR="0" wp14:anchorId="2CF3AAE4" wp14:editId="7161C521">
                <wp:extent cx="1848033" cy="954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48033" cy="954405"/>
                        </a:xfrm>
                        <a:prstGeom prst="rect">
                          <a:avLst/>
                        </a:prstGeom>
                      </pic:spPr>
                    </pic:pic>
                  </a:graphicData>
                </a:graphic>
              </wp:inline>
            </w:drawing>
          </w:r>
        </w:p>
      </w:tc>
    </w:tr>
    <w:tr w:rsidR="00C236DE" w:rsidRPr="009451BD" w14:paraId="09673D18" w14:textId="77777777" w:rsidTr="0D2F6015">
      <w:trPr>
        <w:cantSplit/>
        <w:trHeight w:val="141"/>
      </w:trPr>
      <w:tc>
        <w:tcPr>
          <w:tcW w:w="6062" w:type="dxa"/>
        </w:tcPr>
        <w:p w14:paraId="09673D14" w14:textId="77777777" w:rsidR="00C236DE" w:rsidRDefault="00C236DE" w:rsidP="00E84BC8">
          <w:pPr>
            <w:pStyle w:val="Header"/>
            <w:ind w:left="-113"/>
            <w:rPr>
              <w:rFonts w:ascii="Arial" w:hAnsi="Arial" w:cs="Arial"/>
              <w:b/>
              <w:sz w:val="24"/>
              <w:szCs w:val="24"/>
              <w:lang w:val="en-GB"/>
            </w:rPr>
          </w:pPr>
        </w:p>
        <w:p w14:paraId="09673D16" w14:textId="6833E487" w:rsidR="00C236DE" w:rsidRDefault="0D2F6015" w:rsidP="0D2F6015">
          <w:pPr>
            <w:pStyle w:val="Header"/>
            <w:ind w:left="-113"/>
            <w:rPr>
              <w:rFonts w:ascii="Arial" w:hAnsi="Arial" w:cs="Arial"/>
              <w:b/>
              <w:bCs/>
              <w:sz w:val="24"/>
              <w:szCs w:val="24"/>
              <w:lang w:val="en-GB"/>
            </w:rPr>
          </w:pPr>
          <w:r>
            <w:rPr>
              <w:noProof/>
            </w:rPr>
            <w:drawing>
              <wp:inline distT="0" distB="0" distL="0" distR="0" wp14:anchorId="4D0FFD96" wp14:editId="7744FAB6">
                <wp:extent cx="789700" cy="1009650"/>
                <wp:effectExtent l="0" t="0" r="0" b="0"/>
                <wp:docPr id="583377673" name="Picture 58337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89700" cy="1009650"/>
                        </a:xfrm>
                        <a:prstGeom prst="rect">
                          <a:avLst/>
                        </a:prstGeom>
                      </pic:spPr>
                    </pic:pic>
                  </a:graphicData>
                </a:graphic>
              </wp:inline>
            </w:drawing>
          </w:r>
        </w:p>
      </w:tc>
      <w:tc>
        <w:tcPr>
          <w:tcW w:w="3685" w:type="dxa"/>
          <w:vMerge/>
          <w:tcMar>
            <w:left w:w="0" w:type="dxa"/>
            <w:right w:w="0" w:type="dxa"/>
          </w:tcMar>
        </w:tcPr>
        <w:p w14:paraId="09673D17" w14:textId="77777777" w:rsidR="00C236DE" w:rsidRDefault="00C236DE">
          <w:pPr>
            <w:pStyle w:val="Header"/>
            <w:jc w:val="right"/>
            <w:rPr>
              <w:noProof/>
              <w:sz w:val="16"/>
              <w:szCs w:val="16"/>
              <w:lang w:val="en-GB"/>
            </w:rPr>
          </w:pPr>
        </w:p>
      </w:tc>
    </w:tr>
    <w:tr w:rsidR="00C236DE" w14:paraId="09673D1B" w14:textId="77777777" w:rsidTr="0D2F6015">
      <w:trPr>
        <w:cantSplit/>
        <w:trHeight w:hRule="exact" w:val="370"/>
      </w:trPr>
      <w:tc>
        <w:tcPr>
          <w:tcW w:w="6062" w:type="dxa"/>
        </w:tcPr>
        <w:p w14:paraId="09673D19" w14:textId="77777777" w:rsidR="00C236DE" w:rsidRDefault="005F7BDF" w:rsidP="00E84BC8">
          <w:pPr>
            <w:pStyle w:val="Header"/>
            <w:ind w:left="-113"/>
            <w:rPr>
              <w:rFonts w:ascii="Arial" w:hAnsi="Arial" w:cs="Arial"/>
              <w:sz w:val="16"/>
              <w:szCs w:val="16"/>
              <w:lang w:val="en-GB"/>
            </w:rPr>
          </w:pPr>
          <w:r>
            <w:rPr>
              <w:rFonts w:ascii="Arial" w:hAnsi="Arial" w:cs="Arial"/>
              <w:sz w:val="16"/>
              <w:szCs w:val="16"/>
              <w:lang w:val="en-GB"/>
            </w:rPr>
            <w:pict w14:anchorId="09673D38">
              <v:rect id="_x0000_i1025" style="width:0;height:1.5pt" o:hralign="center" o:hrstd="t" o:hr="t" fillcolor="gray" stroked="f"/>
            </w:pict>
          </w:r>
        </w:p>
      </w:tc>
      <w:tc>
        <w:tcPr>
          <w:tcW w:w="3685" w:type="dxa"/>
          <w:vMerge/>
          <w:tcMar>
            <w:left w:w="0" w:type="dxa"/>
            <w:right w:w="0" w:type="dxa"/>
          </w:tcMar>
        </w:tcPr>
        <w:p w14:paraId="09673D1A" w14:textId="77777777" w:rsidR="00C236DE" w:rsidRDefault="00C236DE">
          <w:pPr>
            <w:pStyle w:val="Header"/>
            <w:jc w:val="right"/>
            <w:rPr>
              <w:noProof/>
              <w:sz w:val="16"/>
              <w:szCs w:val="16"/>
              <w:lang w:val="en-GB"/>
            </w:rPr>
          </w:pPr>
        </w:p>
      </w:tc>
    </w:tr>
  </w:tbl>
  <w:p w14:paraId="09673D1C" w14:textId="77777777" w:rsidR="00C236DE" w:rsidRDefault="00C236DE">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A4A"/>
    <w:multiLevelType w:val="hybridMultilevel"/>
    <w:tmpl w:val="7452D52E"/>
    <w:lvl w:ilvl="0" w:tplc="372AA0C6">
      <w:start w:val="30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341E5"/>
    <w:multiLevelType w:val="multilevel"/>
    <w:tmpl w:val="259C5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62069"/>
    <w:multiLevelType w:val="hybridMultilevel"/>
    <w:tmpl w:val="0B82D19A"/>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1CCE4642"/>
    <w:multiLevelType w:val="hybridMultilevel"/>
    <w:tmpl w:val="4C584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A81C6A"/>
    <w:multiLevelType w:val="hybridMultilevel"/>
    <w:tmpl w:val="634A7B46"/>
    <w:lvl w:ilvl="0" w:tplc="882C9CAA">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2000563A"/>
    <w:multiLevelType w:val="hybridMultilevel"/>
    <w:tmpl w:val="E2A215FC"/>
    <w:lvl w:ilvl="0" w:tplc="1312E1BA">
      <w:numFmt w:val="bullet"/>
      <w:lvlText w:val="•"/>
      <w:lvlJc w:val="left"/>
      <w:pPr>
        <w:ind w:left="1080" w:hanging="7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033A47"/>
    <w:multiLevelType w:val="hybridMultilevel"/>
    <w:tmpl w:val="B680D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93097"/>
    <w:multiLevelType w:val="hybridMultilevel"/>
    <w:tmpl w:val="5A2CC9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4E4912"/>
    <w:multiLevelType w:val="hybridMultilevel"/>
    <w:tmpl w:val="EFE233C2"/>
    <w:lvl w:ilvl="0" w:tplc="0E3EE778">
      <w:start w:val="1"/>
      <w:numFmt w:val="bullet"/>
      <w:pStyle w:val="EMRPbulletslevel1"/>
      <w:lvlText w:val=""/>
      <w:lvlJc w:val="left"/>
      <w:pPr>
        <w:tabs>
          <w:tab w:val="num" w:pos="680"/>
        </w:tabs>
        <w:ind w:left="680" w:hanging="396"/>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49C96577"/>
    <w:multiLevelType w:val="hybridMultilevel"/>
    <w:tmpl w:val="6BC28A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A36502F"/>
    <w:multiLevelType w:val="hybridMultilevel"/>
    <w:tmpl w:val="7728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C2B33"/>
    <w:multiLevelType w:val="hybridMultilevel"/>
    <w:tmpl w:val="F3FEF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723461"/>
    <w:multiLevelType w:val="hybridMultilevel"/>
    <w:tmpl w:val="6BE011E0"/>
    <w:lvl w:ilvl="0" w:tplc="5EE86F96">
      <w:start w:val="1"/>
      <w:numFmt w:val="lowerLetter"/>
      <w:lvlText w:val="(%1)"/>
      <w:lvlJc w:val="left"/>
      <w:pPr>
        <w:tabs>
          <w:tab w:val="num" w:pos="502"/>
        </w:tabs>
        <w:ind w:left="502"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7C7F50"/>
    <w:multiLevelType w:val="hybridMultilevel"/>
    <w:tmpl w:val="67B86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0940F3"/>
    <w:multiLevelType w:val="hybridMultilevel"/>
    <w:tmpl w:val="259C5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3"/>
  </w:num>
  <w:num w:numId="5">
    <w:abstractNumId w:val="0"/>
  </w:num>
  <w:num w:numId="6">
    <w:abstractNumId w:val="6"/>
  </w:num>
  <w:num w:numId="7">
    <w:abstractNumId w:val="3"/>
  </w:num>
  <w:num w:numId="8">
    <w:abstractNumId w:val="11"/>
  </w:num>
  <w:num w:numId="9">
    <w:abstractNumId w:val="14"/>
  </w:num>
  <w:num w:numId="10">
    <w:abstractNumId w:val="12"/>
  </w:num>
  <w:num w:numId="11">
    <w:abstractNumId w:val="7"/>
  </w:num>
  <w:num w:numId="12">
    <w:abstractNumId w:val="10"/>
  </w:num>
  <w:num w:numId="13">
    <w:abstractNumId w:val="9"/>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TrackFormatting/>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12290">
      <o:colormru v:ext="edit" colors="#00285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E59"/>
    <w:rsid w:val="0000E7F1"/>
    <w:rsid w:val="000275A5"/>
    <w:rsid w:val="000827C2"/>
    <w:rsid w:val="000847FC"/>
    <w:rsid w:val="00084B34"/>
    <w:rsid w:val="000A3790"/>
    <w:rsid w:val="000B39AD"/>
    <w:rsid w:val="000E1F39"/>
    <w:rsid w:val="000E545F"/>
    <w:rsid w:val="000F65A4"/>
    <w:rsid w:val="00100510"/>
    <w:rsid w:val="00120E77"/>
    <w:rsid w:val="00125BA3"/>
    <w:rsid w:val="00141D2F"/>
    <w:rsid w:val="00143292"/>
    <w:rsid w:val="0016333A"/>
    <w:rsid w:val="001848A8"/>
    <w:rsid w:val="00185373"/>
    <w:rsid w:val="001A36BC"/>
    <w:rsid w:val="001B0F79"/>
    <w:rsid w:val="001B29B0"/>
    <w:rsid w:val="001C0255"/>
    <w:rsid w:val="001E24A9"/>
    <w:rsid w:val="001E6973"/>
    <w:rsid w:val="001E7533"/>
    <w:rsid w:val="00262FB1"/>
    <w:rsid w:val="00273FEE"/>
    <w:rsid w:val="0028207D"/>
    <w:rsid w:val="00287F50"/>
    <w:rsid w:val="00290A95"/>
    <w:rsid w:val="00294821"/>
    <w:rsid w:val="0029786B"/>
    <w:rsid w:val="002D08B2"/>
    <w:rsid w:val="00303F17"/>
    <w:rsid w:val="00304847"/>
    <w:rsid w:val="00325A54"/>
    <w:rsid w:val="0033297F"/>
    <w:rsid w:val="003459F1"/>
    <w:rsid w:val="00380553"/>
    <w:rsid w:val="0038230D"/>
    <w:rsid w:val="00382859"/>
    <w:rsid w:val="00387871"/>
    <w:rsid w:val="003A1222"/>
    <w:rsid w:val="003C34D7"/>
    <w:rsid w:val="003C65C8"/>
    <w:rsid w:val="003E60FE"/>
    <w:rsid w:val="003F7499"/>
    <w:rsid w:val="00406716"/>
    <w:rsid w:val="0040685B"/>
    <w:rsid w:val="004141FD"/>
    <w:rsid w:val="00420028"/>
    <w:rsid w:val="0042342A"/>
    <w:rsid w:val="00433FB8"/>
    <w:rsid w:val="00440069"/>
    <w:rsid w:val="0044072E"/>
    <w:rsid w:val="0045592B"/>
    <w:rsid w:val="00467611"/>
    <w:rsid w:val="00486CAA"/>
    <w:rsid w:val="00495110"/>
    <w:rsid w:val="004A116D"/>
    <w:rsid w:val="004A53B0"/>
    <w:rsid w:val="004B6315"/>
    <w:rsid w:val="004C61DD"/>
    <w:rsid w:val="004F4E27"/>
    <w:rsid w:val="004F4E51"/>
    <w:rsid w:val="0050070E"/>
    <w:rsid w:val="005265D5"/>
    <w:rsid w:val="005329DF"/>
    <w:rsid w:val="00545CDF"/>
    <w:rsid w:val="0055221D"/>
    <w:rsid w:val="005527B4"/>
    <w:rsid w:val="00557A82"/>
    <w:rsid w:val="00565B66"/>
    <w:rsid w:val="005776CB"/>
    <w:rsid w:val="0058054C"/>
    <w:rsid w:val="005945D8"/>
    <w:rsid w:val="005B2805"/>
    <w:rsid w:val="005C1416"/>
    <w:rsid w:val="005C5C17"/>
    <w:rsid w:val="005D42F9"/>
    <w:rsid w:val="005F7BDF"/>
    <w:rsid w:val="00607EFF"/>
    <w:rsid w:val="00614006"/>
    <w:rsid w:val="006236AE"/>
    <w:rsid w:val="00623E57"/>
    <w:rsid w:val="006254B7"/>
    <w:rsid w:val="006271DE"/>
    <w:rsid w:val="00634DD1"/>
    <w:rsid w:val="006410EF"/>
    <w:rsid w:val="0064427E"/>
    <w:rsid w:val="00665D86"/>
    <w:rsid w:val="006A6C5D"/>
    <w:rsid w:val="006B6CE0"/>
    <w:rsid w:val="006C68B6"/>
    <w:rsid w:val="006D0558"/>
    <w:rsid w:val="006D7141"/>
    <w:rsid w:val="006E182D"/>
    <w:rsid w:val="006E25D7"/>
    <w:rsid w:val="007020FD"/>
    <w:rsid w:val="00711110"/>
    <w:rsid w:val="00722C84"/>
    <w:rsid w:val="00746C6D"/>
    <w:rsid w:val="00771515"/>
    <w:rsid w:val="00777FC7"/>
    <w:rsid w:val="007B1293"/>
    <w:rsid w:val="007B78D8"/>
    <w:rsid w:val="007E5F2E"/>
    <w:rsid w:val="0080651F"/>
    <w:rsid w:val="00814BD4"/>
    <w:rsid w:val="008176E6"/>
    <w:rsid w:val="00823440"/>
    <w:rsid w:val="0082596D"/>
    <w:rsid w:val="008358B5"/>
    <w:rsid w:val="00841EAD"/>
    <w:rsid w:val="008624B3"/>
    <w:rsid w:val="0086579B"/>
    <w:rsid w:val="00873068"/>
    <w:rsid w:val="008B6DD6"/>
    <w:rsid w:val="008C11DC"/>
    <w:rsid w:val="008C1285"/>
    <w:rsid w:val="008E1DD3"/>
    <w:rsid w:val="008E704C"/>
    <w:rsid w:val="008F4E09"/>
    <w:rsid w:val="00906464"/>
    <w:rsid w:val="00917F02"/>
    <w:rsid w:val="00920B6A"/>
    <w:rsid w:val="00940F25"/>
    <w:rsid w:val="00944DD5"/>
    <w:rsid w:val="009451BD"/>
    <w:rsid w:val="00956C64"/>
    <w:rsid w:val="00957C63"/>
    <w:rsid w:val="0096683B"/>
    <w:rsid w:val="009938C7"/>
    <w:rsid w:val="009A3ED8"/>
    <w:rsid w:val="009B2B35"/>
    <w:rsid w:val="009D4560"/>
    <w:rsid w:val="00A02F70"/>
    <w:rsid w:val="00A03A8E"/>
    <w:rsid w:val="00A30D46"/>
    <w:rsid w:val="00A35BA4"/>
    <w:rsid w:val="00A420AB"/>
    <w:rsid w:val="00A425A3"/>
    <w:rsid w:val="00A53E6C"/>
    <w:rsid w:val="00A57B10"/>
    <w:rsid w:val="00A7566B"/>
    <w:rsid w:val="00A80D1C"/>
    <w:rsid w:val="00A81192"/>
    <w:rsid w:val="00A860C5"/>
    <w:rsid w:val="00A93BFF"/>
    <w:rsid w:val="00AA534B"/>
    <w:rsid w:val="00AC23AD"/>
    <w:rsid w:val="00AE5754"/>
    <w:rsid w:val="00B1363F"/>
    <w:rsid w:val="00B16822"/>
    <w:rsid w:val="00B31A28"/>
    <w:rsid w:val="00B66FC4"/>
    <w:rsid w:val="00B70D13"/>
    <w:rsid w:val="00B72E59"/>
    <w:rsid w:val="00B7724E"/>
    <w:rsid w:val="00C04A96"/>
    <w:rsid w:val="00C06660"/>
    <w:rsid w:val="00C10F79"/>
    <w:rsid w:val="00C236DE"/>
    <w:rsid w:val="00C23B86"/>
    <w:rsid w:val="00C3026A"/>
    <w:rsid w:val="00C34776"/>
    <w:rsid w:val="00C419D3"/>
    <w:rsid w:val="00C623D2"/>
    <w:rsid w:val="00C74E73"/>
    <w:rsid w:val="00C959D4"/>
    <w:rsid w:val="00CB2687"/>
    <w:rsid w:val="00CF4741"/>
    <w:rsid w:val="00D137B9"/>
    <w:rsid w:val="00D218AA"/>
    <w:rsid w:val="00D3743D"/>
    <w:rsid w:val="00D7633B"/>
    <w:rsid w:val="00D82356"/>
    <w:rsid w:val="00D97C08"/>
    <w:rsid w:val="00DA56D5"/>
    <w:rsid w:val="00DB748C"/>
    <w:rsid w:val="00DC2CF7"/>
    <w:rsid w:val="00DE2D5E"/>
    <w:rsid w:val="00DF53F6"/>
    <w:rsid w:val="00E03506"/>
    <w:rsid w:val="00E03AB5"/>
    <w:rsid w:val="00E23AE1"/>
    <w:rsid w:val="00E27718"/>
    <w:rsid w:val="00E30E71"/>
    <w:rsid w:val="00E57C7B"/>
    <w:rsid w:val="00E63F3E"/>
    <w:rsid w:val="00E65F06"/>
    <w:rsid w:val="00E72C3F"/>
    <w:rsid w:val="00E80484"/>
    <w:rsid w:val="00E83884"/>
    <w:rsid w:val="00E84BC8"/>
    <w:rsid w:val="00E903CC"/>
    <w:rsid w:val="00E9136D"/>
    <w:rsid w:val="00E92DED"/>
    <w:rsid w:val="00E95208"/>
    <w:rsid w:val="00EC5809"/>
    <w:rsid w:val="00EE3074"/>
    <w:rsid w:val="00EE3C5F"/>
    <w:rsid w:val="00EF3DE0"/>
    <w:rsid w:val="00EF4E2F"/>
    <w:rsid w:val="00EF7FC5"/>
    <w:rsid w:val="00F17E12"/>
    <w:rsid w:val="00F24CFA"/>
    <w:rsid w:val="00F33779"/>
    <w:rsid w:val="00F35B0B"/>
    <w:rsid w:val="00F37006"/>
    <w:rsid w:val="00F43AD5"/>
    <w:rsid w:val="00F573E5"/>
    <w:rsid w:val="00F60CE9"/>
    <w:rsid w:val="00F6399A"/>
    <w:rsid w:val="00F665FA"/>
    <w:rsid w:val="00F808B8"/>
    <w:rsid w:val="00F90D60"/>
    <w:rsid w:val="00F95AB2"/>
    <w:rsid w:val="00FA2073"/>
    <w:rsid w:val="00FA451C"/>
    <w:rsid w:val="00FB3E28"/>
    <w:rsid w:val="00FB4C0D"/>
    <w:rsid w:val="00FB6AB1"/>
    <w:rsid w:val="00FD29CC"/>
    <w:rsid w:val="05863C18"/>
    <w:rsid w:val="0720E324"/>
    <w:rsid w:val="07EDE1A3"/>
    <w:rsid w:val="0D2F6015"/>
    <w:rsid w:val="14486A28"/>
    <w:rsid w:val="148C351E"/>
    <w:rsid w:val="1678B507"/>
    <w:rsid w:val="1BEDEBFA"/>
    <w:rsid w:val="1D711101"/>
    <w:rsid w:val="1FA6FE4B"/>
    <w:rsid w:val="27495B7E"/>
    <w:rsid w:val="2BB05B88"/>
    <w:rsid w:val="2E42DCCB"/>
    <w:rsid w:val="3191C9DD"/>
    <w:rsid w:val="34B7D642"/>
    <w:rsid w:val="36241267"/>
    <w:rsid w:val="3D0050F7"/>
    <w:rsid w:val="42019308"/>
    <w:rsid w:val="461D336D"/>
    <w:rsid w:val="47747100"/>
    <w:rsid w:val="4DA4F59D"/>
    <w:rsid w:val="4FE19EAD"/>
    <w:rsid w:val="58B57D46"/>
    <w:rsid w:val="5BF77FE3"/>
    <w:rsid w:val="5DEF0CD2"/>
    <w:rsid w:val="60515134"/>
    <w:rsid w:val="6BC9F17A"/>
    <w:rsid w:val="707DEF24"/>
    <w:rsid w:val="72B1BF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ru v:ext="edit" colors="#00285b"/>
    </o:shapedefaults>
    <o:shapelayout v:ext="edit">
      <o:idmap v:ext="edit" data="1"/>
    </o:shapelayout>
  </w:shapeDefaults>
  <w:decimalSymbol w:val="."/>
  <w:listSeparator w:val=","/>
  <w14:docId w14:val="09673C9E"/>
  <w15:docId w15:val="{62E6B9F1-2170-4A9F-9B74-0F6716FE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de-DE" w:eastAsia="de-DE"/>
    </w:rPr>
  </w:style>
  <w:style w:type="paragraph" w:styleId="Heading1">
    <w:name w:val="heading 1"/>
    <w:basedOn w:val="Normal"/>
    <w:next w:val="Normal"/>
    <w:qFormat/>
    <w:pPr>
      <w:keepNext/>
      <w:jc w:val="center"/>
      <w:outlineLvl w:val="0"/>
    </w:pPr>
    <w:rPr>
      <w:rFonts w:ascii="Arial" w:eastAsia="SimSun" w:hAnsi="Arial" w:cs="Arial"/>
      <w:b/>
      <w:bCs/>
      <w:sz w:val="28"/>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semiHidden/>
    <w:pPr>
      <w:tabs>
        <w:tab w:val="center" w:pos="4536"/>
        <w:tab w:val="right" w:pos="9072"/>
      </w:tabs>
    </w:p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semiHidden/>
    <w:pPr>
      <w:spacing w:before="60"/>
      <w:ind w:left="57"/>
    </w:pPr>
    <w:rPr>
      <w:rFonts w:ascii="Arial" w:hAnsi="Arial" w:cs="Arial"/>
      <w:bCs/>
      <w:color w:val="000000"/>
      <w:sz w:val="14"/>
      <w:szCs w:val="14"/>
    </w:rPr>
  </w:style>
  <w:style w:type="paragraph" w:styleId="BodyText">
    <w:name w:val="Body Text"/>
    <w:basedOn w:val="Normal"/>
    <w:semiHidden/>
    <w:pPr>
      <w:spacing w:before="40" w:after="40"/>
    </w:pPr>
    <w:rPr>
      <w:rFonts w:ascii="Arial" w:hAnsi="Arial" w:cs="Arial"/>
      <w:bCs/>
      <w:color w:val="000000"/>
      <w:sz w:val="14"/>
      <w:szCs w:val="14"/>
      <w:lang w:val="en-GB" w:eastAsia="en-US"/>
    </w:rPr>
  </w:style>
  <w:style w:type="paragraph" w:styleId="BodyText2">
    <w:name w:val="Body Text 2"/>
    <w:basedOn w:val="Normal"/>
    <w:link w:val="BodyText2Char"/>
    <w:semiHidden/>
    <w:rPr>
      <w:rFonts w:ascii="Arial" w:eastAsia="SimSun" w:hAnsi="Arial" w:cs="Arial"/>
      <w:sz w:val="22"/>
      <w:lang w:eastAsia="zh-CN"/>
    </w:rPr>
  </w:style>
  <w:style w:type="paragraph" w:customStyle="1" w:styleId="EMRPbodytext">
    <w:name w:val="EMRP body text"/>
    <w:basedOn w:val="Normal"/>
    <w:link w:val="EMRPbodytextChar"/>
    <w:qFormat/>
    <w:pPr>
      <w:spacing w:before="120"/>
      <w:jc w:val="both"/>
    </w:pPr>
    <w:rPr>
      <w:rFonts w:ascii="Arial" w:hAnsi="Arial"/>
      <w:lang w:val="en-GB"/>
    </w:rPr>
  </w:style>
  <w:style w:type="paragraph" w:styleId="TOC3">
    <w:name w:val="toc 3"/>
    <w:basedOn w:val="Normal"/>
    <w:next w:val="Normal"/>
    <w:autoRedefine/>
    <w:semiHidden/>
    <w:pPr>
      <w:tabs>
        <w:tab w:val="left" w:pos="1276"/>
        <w:tab w:val="right" w:leader="dot" w:pos="9639"/>
      </w:tabs>
    </w:pPr>
    <w:rPr>
      <w:rFonts w:ascii="Arial" w:hAnsi="Arial" w:cs="Arial"/>
      <w:b/>
      <w:bCs/>
      <w:noProof/>
      <w:lang w:val="en-GB" w:eastAsia="en-US"/>
    </w:rPr>
  </w:style>
  <w:style w:type="paragraph" w:customStyle="1" w:styleId="EMRPbulletslevel1">
    <w:name w:val="EMRP bullets level1"/>
    <w:rsid w:val="00B31A28"/>
    <w:pPr>
      <w:numPr>
        <w:numId w:val="1"/>
      </w:numPr>
    </w:pPr>
    <w:rPr>
      <w:rFonts w:ascii="Arial" w:hAnsi="Arial"/>
      <w:lang w:eastAsia="en-US"/>
    </w:rPr>
  </w:style>
  <w:style w:type="character" w:customStyle="1" w:styleId="BodyText2Char">
    <w:name w:val="Body Text 2 Char"/>
    <w:basedOn w:val="DefaultParagraphFont"/>
    <w:link w:val="BodyText2"/>
    <w:semiHidden/>
    <w:rsid w:val="0045592B"/>
    <w:rPr>
      <w:rFonts w:ascii="Arial" w:eastAsia="SimSun" w:hAnsi="Arial" w:cs="Arial"/>
      <w:sz w:val="22"/>
      <w:lang w:val="de-DE" w:eastAsia="zh-CN"/>
    </w:rPr>
  </w:style>
  <w:style w:type="character" w:customStyle="1" w:styleId="EMRPbodytextChar">
    <w:name w:val="EMRP body text Char"/>
    <w:link w:val="EMRPbodytext"/>
    <w:rsid w:val="0033297F"/>
    <w:rPr>
      <w:rFonts w:ascii="Arial" w:hAnsi="Arial"/>
      <w:lang w:eastAsia="de-DE"/>
    </w:rPr>
  </w:style>
  <w:style w:type="character" w:customStyle="1" w:styleId="HeaderChar">
    <w:name w:val="Header Char"/>
    <w:link w:val="Header"/>
    <w:rsid w:val="0033297F"/>
    <w:rPr>
      <w:lang w:val="de-DE" w:eastAsia="de-DE"/>
    </w:rPr>
  </w:style>
  <w:style w:type="paragraph" w:styleId="ListParagraph">
    <w:name w:val="List Paragraph"/>
    <w:basedOn w:val="Normal"/>
    <w:qFormat/>
    <w:rsid w:val="00711110"/>
    <w:pPr>
      <w:ind w:left="720"/>
    </w:pPr>
    <w:rPr>
      <w:rFonts w:ascii="Calibri" w:eastAsia="Calibri" w:hAnsi="Calibri" w:cs="Calibri"/>
      <w:sz w:val="22"/>
      <w:szCs w:val="22"/>
      <w:lang w:val="en-GB" w:eastAsia="en-US"/>
    </w:rPr>
  </w:style>
  <w:style w:type="paragraph" w:styleId="NormalWeb">
    <w:name w:val="Normal (Web)"/>
    <w:basedOn w:val="Normal"/>
    <w:uiPriority w:val="99"/>
    <w:semiHidden/>
    <w:unhideWhenUsed/>
    <w:rsid w:val="006236AE"/>
    <w:pPr>
      <w:spacing w:before="100" w:beforeAutospacing="1" w:after="100" w:afterAutospacing="1"/>
    </w:pPr>
    <w:rPr>
      <w:sz w:val="24"/>
      <w:szCs w:val="24"/>
      <w:lang w:val="en-GB" w:eastAsia="en-GB"/>
    </w:rPr>
  </w:style>
  <w:style w:type="character" w:styleId="CommentReference">
    <w:name w:val="annotation reference"/>
    <w:basedOn w:val="DefaultParagraphFont"/>
    <w:uiPriority w:val="99"/>
    <w:semiHidden/>
    <w:unhideWhenUsed/>
    <w:rsid w:val="0050070E"/>
    <w:rPr>
      <w:sz w:val="16"/>
      <w:szCs w:val="16"/>
    </w:rPr>
  </w:style>
  <w:style w:type="paragraph" w:styleId="CommentText">
    <w:name w:val="annotation text"/>
    <w:basedOn w:val="Normal"/>
    <w:link w:val="CommentTextChar"/>
    <w:semiHidden/>
    <w:unhideWhenUsed/>
    <w:qFormat/>
    <w:rsid w:val="000E545F"/>
    <w:rPr>
      <w:rFonts w:ascii="Tahoma" w:hAnsi="Tahoma"/>
    </w:rPr>
  </w:style>
  <w:style w:type="character" w:customStyle="1" w:styleId="CommentTextChar">
    <w:name w:val="Comment Text Char"/>
    <w:basedOn w:val="DefaultParagraphFont"/>
    <w:link w:val="CommentText"/>
    <w:semiHidden/>
    <w:rsid w:val="000E545F"/>
    <w:rPr>
      <w:rFonts w:ascii="Tahoma" w:hAnsi="Tahoma"/>
      <w:lang w:val="de-DE" w:eastAsia="de-DE"/>
    </w:rPr>
  </w:style>
  <w:style w:type="paragraph" w:styleId="CommentSubject">
    <w:name w:val="annotation subject"/>
    <w:basedOn w:val="CommentText"/>
    <w:next w:val="CommentText"/>
    <w:link w:val="CommentSubjectChar"/>
    <w:uiPriority w:val="99"/>
    <w:semiHidden/>
    <w:unhideWhenUsed/>
    <w:rsid w:val="0050070E"/>
    <w:rPr>
      <w:b/>
      <w:bCs/>
    </w:rPr>
  </w:style>
  <w:style w:type="character" w:customStyle="1" w:styleId="CommentSubjectChar">
    <w:name w:val="Comment Subject Char"/>
    <w:basedOn w:val="CommentTextChar"/>
    <w:link w:val="CommentSubject"/>
    <w:uiPriority w:val="99"/>
    <w:semiHidden/>
    <w:rsid w:val="0050070E"/>
    <w:rPr>
      <w:rFonts w:ascii="Tahoma" w:hAnsi="Tahoma"/>
      <w:b/>
      <w:bCs/>
      <w:lang w:val="de-DE" w:eastAsia="de-DE"/>
    </w:rPr>
  </w:style>
  <w:style w:type="character" w:styleId="UnresolvedMention">
    <w:name w:val="Unresolved Mention"/>
    <w:basedOn w:val="DefaultParagraphFont"/>
    <w:uiPriority w:val="99"/>
    <w:semiHidden/>
    <w:unhideWhenUsed/>
    <w:rsid w:val="00495110"/>
    <w:rPr>
      <w:color w:val="605E5C"/>
      <w:shd w:val="clear" w:color="auto" w:fill="E1DFDD"/>
    </w:rPr>
  </w:style>
  <w:style w:type="paragraph" w:customStyle="1" w:styleId="EMPIRbodytext">
    <w:name w:val="EMPIR body text"/>
    <w:basedOn w:val="Normal"/>
    <w:link w:val="EMPIRbodytextChar"/>
    <w:qFormat/>
    <w:rsid w:val="006E182D"/>
    <w:pPr>
      <w:spacing w:before="120"/>
      <w:jc w:val="both"/>
    </w:pPr>
    <w:rPr>
      <w:rFonts w:ascii="Arial" w:hAnsi="Arial"/>
      <w:lang w:val="en-GB"/>
    </w:rPr>
  </w:style>
  <w:style w:type="character" w:customStyle="1" w:styleId="EMPIRbodytextChar">
    <w:name w:val="EMPIR body text Char"/>
    <w:link w:val="EMPIRbodytext"/>
    <w:qFormat/>
    <w:rsid w:val="006E182D"/>
    <w:rPr>
      <w:rFonts w:ascii="Arial" w:hAnsi="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456686">
      <w:bodyDiv w:val="1"/>
      <w:marLeft w:val="0"/>
      <w:marRight w:val="0"/>
      <w:marTop w:val="0"/>
      <w:marBottom w:val="0"/>
      <w:divBdr>
        <w:top w:val="none" w:sz="0" w:space="0" w:color="auto"/>
        <w:left w:val="none" w:sz="0" w:space="0" w:color="auto"/>
        <w:bottom w:val="none" w:sz="0" w:space="0" w:color="auto"/>
        <w:right w:val="none" w:sz="0" w:space="0" w:color="auto"/>
      </w:divBdr>
    </w:div>
    <w:div w:id="202343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DC21BE23B3FA2479F4B4E5D598F3707" ma:contentTypeVersion="12" ma:contentTypeDescription="Ein neues Dokument erstellen." ma:contentTypeScope="" ma:versionID="1829b9d6974262c9e06c4cfd8ec405ac">
  <xsd:schema xmlns:xsd="http://www.w3.org/2001/XMLSchema" xmlns:xs="http://www.w3.org/2001/XMLSchema" xmlns:p="http://schemas.microsoft.com/office/2006/metadata/properties" xmlns:ns3="e5c1661b-481e-43cb-ae9d-06679d1e36e7" xmlns:ns4="86fb7a66-9706-47e6-ac4e-f06d26326fcb" targetNamespace="http://schemas.microsoft.com/office/2006/metadata/properties" ma:root="true" ma:fieldsID="63e83fa104a90e602f7475582e7766ba" ns3:_="" ns4:_="">
    <xsd:import namespace="e5c1661b-481e-43cb-ae9d-06679d1e36e7"/>
    <xsd:import namespace="86fb7a66-9706-47e6-ac4e-f06d26326fc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1661b-481e-43cb-ae9d-06679d1e3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fb7a66-9706-47e6-ac4e-f06d26326fcb"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4F70A-802B-4263-BA4F-34C4305BE0A8}">
  <ds:schemaRefs>
    <ds:schemaRef ds:uri="http://schemas.microsoft.com/sharepoint/v3/contenttype/forms"/>
  </ds:schemaRefs>
</ds:datastoreItem>
</file>

<file path=customXml/itemProps2.xml><?xml version="1.0" encoding="utf-8"?>
<ds:datastoreItem xmlns:ds="http://schemas.openxmlformats.org/officeDocument/2006/customXml" ds:itemID="{19E723B3-BF9A-40A3-963E-1C5E15B1BB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45E3C8-D4AA-4291-9F5A-DB1DF241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1661b-481e-43cb-ae9d-06679d1e36e7"/>
    <ds:schemaRef ds:uri="86fb7a66-9706-47e6-ac4e-f06d26326f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4F707-C9F2-40F5-A467-78F4C78E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2067</Words>
  <Characters>12189</Characters>
  <Application>Microsoft Office Word</Application>
  <DocSecurity>0</DocSecurity>
  <Lines>101</Lines>
  <Paragraphs>28</Paragraphs>
  <ScaleCrop>false</ScaleCrop>
  <Company>PTB Braunschweig &amp; Berlin</Company>
  <LinksUpToDate>false</LinksUpToDate>
  <CharactersWithSpaces>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EMRP-template (document)</dc:title>
  <dc:subject/>
  <dc:creator>EMRP-MSU</dc:creator>
  <cp:keywords/>
  <cp:lastModifiedBy>William Dawson</cp:lastModifiedBy>
  <cp:revision>6</cp:revision>
  <cp:lastPrinted>2019-05-31T14:51:00Z</cp:lastPrinted>
  <dcterms:created xsi:type="dcterms:W3CDTF">2020-10-14T14:05:00Z</dcterms:created>
  <dcterms:modified xsi:type="dcterms:W3CDTF">2020-10-14T14:29:00Z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Not an NPL document (No visible marking)</vt:lpwstr>
  </property>
  <property fmtid="{D5CDD505-2E9C-101B-9397-08002B2CF9AE}" pid="3" name="aliashDocumentMarking">
    <vt:lpwstr/>
  </property>
  <property fmtid="{D5CDD505-2E9C-101B-9397-08002B2CF9AE}" pid="4" name="ContentTypeId">
    <vt:lpwstr>0x0101005DC21BE23B3FA2479F4B4E5D598F3707</vt:lpwstr>
  </property>
  <property fmtid="{D5CDD505-2E9C-101B-9397-08002B2CF9AE}" pid="5" name="MSIP_Label_9df4b5af-ab42-45d5-91e7-45583bed1b2a_Enabled">
    <vt:lpwstr>true</vt:lpwstr>
  </property>
  <property fmtid="{D5CDD505-2E9C-101B-9397-08002B2CF9AE}" pid="6" name="MSIP_Label_9df4b5af-ab42-45d5-91e7-45583bed1b2a_SetDate">
    <vt:lpwstr>2020-10-14T14:05:53Z</vt:lpwstr>
  </property>
  <property fmtid="{D5CDD505-2E9C-101B-9397-08002B2CF9AE}" pid="7" name="MSIP_Label_9df4b5af-ab42-45d5-91e7-45583bed1b2a_Method">
    <vt:lpwstr>Standard</vt:lpwstr>
  </property>
  <property fmtid="{D5CDD505-2E9C-101B-9397-08002B2CF9AE}" pid="8" name="MSIP_Label_9df4b5af-ab42-45d5-91e7-45583bed1b2a_Name">
    <vt:lpwstr>9df4b5af-ab42-45d5-91e7-45583bed1b2a</vt:lpwstr>
  </property>
  <property fmtid="{D5CDD505-2E9C-101B-9397-08002B2CF9AE}" pid="9" name="MSIP_Label_9df4b5af-ab42-45d5-91e7-45583bed1b2a_SiteId">
    <vt:lpwstr>601e5460-b1bf-49c0-bd2d-e76ffc186a8d</vt:lpwstr>
  </property>
  <property fmtid="{D5CDD505-2E9C-101B-9397-08002B2CF9AE}" pid="10" name="MSIP_Label_9df4b5af-ab42-45d5-91e7-45583bed1b2a_ActionId">
    <vt:lpwstr>bb36d2cf-6c04-4c01-8097-4be7f0f02c67</vt:lpwstr>
  </property>
  <property fmtid="{D5CDD505-2E9C-101B-9397-08002B2CF9AE}" pid="11" name="MSIP_Label_9df4b5af-ab42-45d5-91e7-45583bed1b2a_ContentBits">
    <vt:lpwstr>0</vt:lpwstr>
  </property>
</Properties>
</file>